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E9E375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7F6144">
        <w:rPr>
          <w:b/>
          <w:noProof/>
          <w:sz w:val="24"/>
          <w:lang w:val="en-US"/>
        </w:rPr>
        <w:t>1</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027E46">
        <w:rPr>
          <w:b/>
          <w:noProof/>
          <w:sz w:val="24"/>
          <w:lang w:val="en-US"/>
        </w:rPr>
        <w:t>3893</w:t>
      </w:r>
    </w:p>
    <w:p w14:paraId="351CA33D" w14:textId="2538F9CB" w:rsidR="00347001" w:rsidRPr="002D2634" w:rsidRDefault="007F6144" w:rsidP="00D870B2">
      <w:pPr>
        <w:tabs>
          <w:tab w:val="left" w:pos="1985"/>
        </w:tabs>
        <w:rPr>
          <w:bCs/>
          <w:i/>
          <w:iCs/>
          <w:color w:val="2F5496"/>
          <w:sz w:val="24"/>
          <w:lang w:val="pt-PT"/>
        </w:rPr>
      </w:pPr>
      <w:r>
        <w:rPr>
          <w:rFonts w:ascii="Arial" w:eastAsia="MS Mincho" w:hAnsi="Arial"/>
          <w:b/>
          <w:noProof/>
          <w:sz w:val="24"/>
        </w:rPr>
        <w:t>Toulouse, France</w:t>
      </w:r>
      <w:r w:rsidR="00CE67EE">
        <w:rPr>
          <w:rFonts w:ascii="Arial" w:eastAsia="MS Mincho" w:hAnsi="Arial"/>
          <w:b/>
          <w:noProof/>
          <w:sz w:val="24"/>
        </w:rPr>
        <w:t xml:space="preserve">, </w:t>
      </w:r>
      <w:r>
        <w:rPr>
          <w:rFonts w:ascii="Arial" w:eastAsia="MS Mincho" w:hAnsi="Arial"/>
          <w:b/>
          <w:noProof/>
          <w:sz w:val="24"/>
        </w:rPr>
        <w:t>August</w:t>
      </w:r>
      <w:r w:rsidR="00CE67EE">
        <w:rPr>
          <w:rFonts w:ascii="Arial" w:eastAsia="MS Mincho" w:hAnsi="Arial"/>
          <w:b/>
          <w:noProof/>
          <w:sz w:val="24"/>
        </w:rPr>
        <w:t xml:space="preserve"> </w:t>
      </w:r>
      <w:r w:rsidR="00011189">
        <w:rPr>
          <w:rFonts w:ascii="Arial" w:eastAsia="MS Mincho" w:hAnsi="Arial"/>
          <w:b/>
          <w:noProof/>
          <w:sz w:val="24"/>
        </w:rPr>
        <w:t>2</w:t>
      </w:r>
      <w:r>
        <w:rPr>
          <w:rFonts w:ascii="Arial" w:eastAsia="MS Mincho" w:hAnsi="Arial"/>
          <w:b/>
          <w:noProof/>
          <w:sz w:val="24"/>
        </w:rPr>
        <w:t>1</w:t>
      </w:r>
      <w:r w:rsidR="00CE67EE">
        <w:rPr>
          <w:rFonts w:ascii="Arial" w:eastAsia="MS Mincho" w:hAnsi="Arial"/>
          <w:b/>
          <w:noProof/>
          <w:sz w:val="24"/>
        </w:rPr>
        <w:t xml:space="preserve"> – 2</w:t>
      </w:r>
      <w:r>
        <w:rPr>
          <w:rFonts w:ascii="Arial" w:eastAsia="MS Mincho" w:hAnsi="Arial"/>
          <w:b/>
          <w:noProof/>
          <w:sz w:val="24"/>
        </w:rPr>
        <w:t>5</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89B3EE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576F5">
        <w:rPr>
          <w:rFonts w:ascii="Arial" w:hAnsi="Arial"/>
          <w:sz w:val="24"/>
        </w:rPr>
        <w:t xml:space="preserve">Open Issues for mobile IAB Topology Adaptation </w:t>
      </w:r>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8EC5432" w14:textId="77777777" w:rsidR="00FD428F" w:rsidRDefault="00FD428F" w:rsidP="00FD428F">
      <w:pPr>
        <w:spacing w:after="0"/>
      </w:pPr>
      <w:r>
        <w:t>The Chair notes of RAN3#120 captured the following agreements and open issues [1], which reflects the progress on mobile IAB in RAN3:</w:t>
      </w:r>
    </w:p>
    <w:p w14:paraId="4D66E166" w14:textId="77777777" w:rsidR="00FD428F" w:rsidRDefault="00FD428F" w:rsidP="00FD428F">
      <w:pPr>
        <w:spacing w:after="0"/>
      </w:pPr>
    </w:p>
    <w:tbl>
      <w:tblPr>
        <w:tblStyle w:val="TableGrid"/>
        <w:tblW w:w="0" w:type="auto"/>
        <w:tblLook w:val="04A0" w:firstRow="1" w:lastRow="0" w:firstColumn="1" w:lastColumn="0" w:noHBand="0" w:noVBand="1"/>
      </w:tblPr>
      <w:tblGrid>
        <w:gridCol w:w="9631"/>
      </w:tblGrid>
      <w:tr w:rsidR="00FD428F" w14:paraId="15CC971C" w14:textId="77777777" w:rsidTr="001A5D49">
        <w:tc>
          <w:tcPr>
            <w:tcW w:w="9631" w:type="dxa"/>
          </w:tcPr>
          <w:p w14:paraId="7EE1DAB8"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WA: 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 and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-MT can integrate at different CUs. For this purpose, OAM can be used to configure 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 </w:t>
            </w:r>
            <w:proofErr w:type="gramStart"/>
            <w:r w:rsidRPr="00B243B4">
              <w:rPr>
                <w:rFonts w:ascii="Calibri" w:hAnsi="Calibri" w:cs="Calibri"/>
                <w:b/>
                <w:bCs/>
                <w:color w:val="008000"/>
                <w:sz w:val="16"/>
                <w:szCs w:val="18"/>
              </w:rPr>
              <w:t>with:</w:t>
            </w:r>
            <w:proofErr w:type="gramEnd"/>
            <w:r w:rsidRPr="00B243B4">
              <w:rPr>
                <w:rFonts w:ascii="Calibri" w:hAnsi="Calibri" w:cs="Calibri"/>
                <w:b/>
                <w:bCs/>
                <w:color w:val="008000"/>
                <w:sz w:val="16"/>
                <w:szCs w:val="18"/>
              </w:rPr>
              <w:t xml:space="preserve"> a) the donor CU to connect to, and b) the parameters used by 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 to establish TNL associations, </w:t>
            </w:r>
            <w:proofErr w:type="spellStart"/>
            <w:r w:rsidRPr="00B243B4">
              <w:rPr>
                <w:rFonts w:ascii="Calibri" w:hAnsi="Calibri" w:cs="Calibri"/>
                <w:b/>
                <w:bCs/>
                <w:color w:val="008000"/>
                <w:sz w:val="16"/>
                <w:szCs w:val="18"/>
              </w:rPr>
              <w:t>IPSec</w:t>
            </w:r>
            <w:proofErr w:type="spellEnd"/>
            <w:r w:rsidRPr="00B243B4">
              <w:rPr>
                <w:rFonts w:ascii="Calibri" w:hAnsi="Calibri" w:cs="Calibri"/>
                <w:b/>
                <w:bCs/>
                <w:color w:val="008000"/>
                <w:sz w:val="16"/>
                <w:szCs w:val="18"/>
              </w:rPr>
              <w:t xml:space="preserve"> tunnels and F1 connectivity to this donor CU. </w:t>
            </w:r>
          </w:p>
          <w:p w14:paraId="3990CECA"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0359DE4C" w14:textId="77777777" w:rsidR="00FD428F" w:rsidRPr="00B243B4" w:rsidRDefault="00FD428F" w:rsidP="001A5D49">
            <w:pPr>
              <w:spacing w:after="120"/>
              <w:rPr>
                <w:rFonts w:ascii="Calibri" w:hAnsi="Calibri" w:cs="Calibri"/>
                <w:b/>
                <w:bCs/>
                <w:color w:val="00B050"/>
                <w:sz w:val="18"/>
                <w:szCs w:val="18"/>
              </w:rPr>
            </w:pPr>
            <w:r w:rsidRPr="00B243B4">
              <w:rPr>
                <w:rFonts w:ascii="Calibri" w:hAnsi="Calibri" w:cs="Calibri"/>
                <w:b/>
                <w:bCs/>
                <w:color w:val="0000FF"/>
                <w:sz w:val="16"/>
                <w:szCs w:val="18"/>
              </w:rPr>
              <w:t>Whether the information on the DU’s CU can also be configured by the MT’s CU.</w:t>
            </w:r>
          </w:p>
          <w:p w14:paraId="29B1C4F4"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During network integration where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 MT and the co-located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 integrates to different donor CUs,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-MT’s UE </w:t>
            </w:r>
            <w:proofErr w:type="spellStart"/>
            <w:r w:rsidRPr="00B243B4">
              <w:rPr>
                <w:rFonts w:ascii="Calibri" w:hAnsi="Calibri" w:cs="Calibri"/>
                <w:b/>
                <w:bCs/>
                <w:color w:val="008000"/>
                <w:sz w:val="16"/>
                <w:szCs w:val="18"/>
              </w:rPr>
              <w:t>XnAP</w:t>
            </w:r>
            <w:proofErr w:type="spellEnd"/>
            <w:r w:rsidRPr="00B243B4">
              <w:rPr>
                <w:rFonts w:ascii="Calibri" w:hAnsi="Calibri" w:cs="Calibri"/>
                <w:b/>
                <w:bCs/>
                <w:color w:val="008000"/>
                <w:sz w:val="16"/>
                <w:szCs w:val="18"/>
              </w:rPr>
              <w:t xml:space="preserve"> ID assigned by the MT´s CU and the </w:t>
            </w:r>
            <w:proofErr w:type="spellStart"/>
            <w:r w:rsidRPr="00B243B4">
              <w:rPr>
                <w:rFonts w:ascii="Calibri" w:hAnsi="Calibri" w:cs="Calibri"/>
                <w:b/>
                <w:bCs/>
                <w:color w:val="008000"/>
                <w:sz w:val="16"/>
                <w:szCs w:val="18"/>
              </w:rPr>
              <w:t>gNB</w:t>
            </w:r>
            <w:proofErr w:type="spellEnd"/>
            <w:r w:rsidRPr="00B243B4">
              <w:rPr>
                <w:rFonts w:ascii="Calibri" w:hAnsi="Calibri" w:cs="Calibri"/>
                <w:b/>
                <w:bCs/>
                <w:color w:val="008000"/>
                <w:sz w:val="16"/>
                <w:szCs w:val="18"/>
              </w:rPr>
              <w:t xml:space="preserve">-ID of the MT´s CU shall be known to 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-DU’s CU. </w:t>
            </w:r>
          </w:p>
          <w:p w14:paraId="23DD9916"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0746AFAC"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How to pass the UE </w:t>
            </w:r>
            <w:proofErr w:type="spellStart"/>
            <w:r w:rsidRPr="00B243B4">
              <w:rPr>
                <w:rFonts w:ascii="Calibri" w:hAnsi="Calibri" w:cs="Calibri"/>
                <w:b/>
                <w:bCs/>
                <w:color w:val="0000FF"/>
                <w:sz w:val="16"/>
                <w:szCs w:val="18"/>
              </w:rPr>
              <w:t>XnAP</w:t>
            </w:r>
            <w:proofErr w:type="spellEnd"/>
            <w:r w:rsidRPr="00B243B4">
              <w:rPr>
                <w:rFonts w:ascii="Calibri" w:hAnsi="Calibri" w:cs="Calibri"/>
                <w:b/>
                <w:bCs/>
                <w:color w:val="0000FF"/>
                <w:sz w:val="16"/>
                <w:szCs w:val="18"/>
              </w:rPr>
              <w:t xml:space="preserve"> ID and NCGI or </w:t>
            </w:r>
            <w:proofErr w:type="spellStart"/>
            <w:r w:rsidRPr="00B243B4">
              <w:rPr>
                <w:rFonts w:ascii="Calibri" w:hAnsi="Calibri" w:cs="Calibri"/>
                <w:b/>
                <w:bCs/>
                <w:color w:val="0000FF"/>
                <w:sz w:val="16"/>
                <w:szCs w:val="18"/>
              </w:rPr>
              <w:t>gNB</w:t>
            </w:r>
            <w:proofErr w:type="spellEnd"/>
            <w:r w:rsidRPr="00B243B4">
              <w:rPr>
                <w:rFonts w:ascii="Calibri" w:hAnsi="Calibri" w:cs="Calibri"/>
                <w:b/>
                <w:bCs/>
                <w:color w:val="0000FF"/>
                <w:sz w:val="16"/>
                <w:szCs w:val="18"/>
              </w:rPr>
              <w:t>-ID in case the IAB node knows the information of the DU’s CU by other means than OAM, if agreed.</w:t>
            </w:r>
          </w:p>
          <w:p w14:paraId="3DCE0252" w14:textId="77777777" w:rsidR="00FD428F" w:rsidRPr="00B243B4" w:rsidRDefault="00FD428F" w:rsidP="001A5D49">
            <w:pPr>
              <w:spacing w:after="120"/>
              <w:rPr>
                <w:rFonts w:ascii="Calibri" w:hAnsi="Calibri" w:cs="Calibri"/>
                <w:b/>
                <w:bCs/>
                <w:color w:val="0000FF"/>
                <w:sz w:val="16"/>
                <w:szCs w:val="18"/>
              </w:rPr>
            </w:pPr>
            <w:proofErr w:type="spellStart"/>
            <w:proofErr w:type="gramStart"/>
            <w:r w:rsidRPr="00B243B4">
              <w:rPr>
                <w:rFonts w:ascii="Calibri" w:hAnsi="Calibri" w:cs="Calibri"/>
                <w:b/>
                <w:bCs/>
                <w:color w:val="0000FF"/>
                <w:sz w:val="16"/>
                <w:szCs w:val="18"/>
              </w:rPr>
              <w:t>It</w:t>
            </w:r>
            <w:proofErr w:type="gramEnd"/>
            <w:r w:rsidRPr="00B243B4">
              <w:rPr>
                <w:rFonts w:ascii="Calibri" w:hAnsi="Calibri" w:cs="Calibri"/>
                <w:b/>
                <w:bCs/>
                <w:color w:val="0000FF"/>
                <w:sz w:val="16"/>
                <w:szCs w:val="18"/>
              </w:rPr>
              <w:t xml:space="preserve"> s</w:t>
            </w:r>
            <w:proofErr w:type="spellEnd"/>
            <w:r w:rsidRPr="00B243B4">
              <w:rPr>
                <w:rFonts w:ascii="Calibri" w:hAnsi="Calibri" w:cs="Calibri"/>
                <w:b/>
                <w:bCs/>
                <w:color w:val="0000FF"/>
                <w:sz w:val="16"/>
                <w:szCs w:val="18"/>
              </w:rPr>
              <w:t xml:space="preserve"> FFS whether both </w:t>
            </w:r>
            <w:proofErr w:type="spellStart"/>
            <w:r w:rsidRPr="00B243B4">
              <w:rPr>
                <w:rFonts w:ascii="Calibri" w:hAnsi="Calibri" w:cs="Calibri"/>
                <w:b/>
                <w:bCs/>
                <w:color w:val="0000FF"/>
                <w:sz w:val="16"/>
                <w:szCs w:val="18"/>
              </w:rPr>
              <w:t>gNB</w:t>
            </w:r>
            <w:proofErr w:type="spellEnd"/>
            <w:r w:rsidRPr="00B243B4">
              <w:rPr>
                <w:rFonts w:ascii="Calibri" w:hAnsi="Calibri" w:cs="Calibri"/>
                <w:b/>
                <w:bCs/>
                <w:color w:val="0000FF"/>
                <w:sz w:val="16"/>
                <w:szCs w:val="18"/>
              </w:rPr>
              <w:t xml:space="preserve">-ID and CGI needs to be provided to the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-DU’s CU</w:t>
            </w:r>
          </w:p>
          <w:p w14:paraId="233BDD68"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It is FFS whether the </w:t>
            </w:r>
            <w:proofErr w:type="spellStart"/>
            <w:r w:rsidRPr="00B243B4">
              <w:rPr>
                <w:rFonts w:ascii="Calibri" w:hAnsi="Calibri" w:cs="Calibri"/>
                <w:b/>
                <w:bCs/>
                <w:color w:val="0000FF"/>
                <w:sz w:val="16"/>
                <w:szCs w:val="18"/>
              </w:rPr>
              <w:t>XnAP</w:t>
            </w:r>
            <w:proofErr w:type="spellEnd"/>
            <w:r w:rsidRPr="00B243B4">
              <w:rPr>
                <w:rFonts w:ascii="Calibri" w:hAnsi="Calibri" w:cs="Calibri"/>
                <w:b/>
                <w:bCs/>
                <w:color w:val="0000FF"/>
                <w:sz w:val="16"/>
                <w:szCs w:val="18"/>
              </w:rPr>
              <w:t xml:space="preserve"> ID can be transparently passed from the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 xml:space="preserve">-MT’s CU to the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 xml:space="preserve">-MT via RRC, then from the co-located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 xml:space="preserve">-DU to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 xml:space="preserve">-DU’s CU via F1AP.  </w:t>
            </w:r>
          </w:p>
          <w:p w14:paraId="4AA99B8C"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It is FFS whether the </w:t>
            </w:r>
            <w:proofErr w:type="spellStart"/>
            <w:r w:rsidRPr="00B243B4">
              <w:rPr>
                <w:rFonts w:ascii="Calibri" w:hAnsi="Calibri" w:cs="Calibri"/>
                <w:b/>
                <w:bCs/>
                <w:color w:val="0000FF"/>
                <w:sz w:val="16"/>
                <w:szCs w:val="18"/>
              </w:rPr>
              <w:t>gNB</w:t>
            </w:r>
            <w:proofErr w:type="spellEnd"/>
            <w:r w:rsidRPr="00B243B4">
              <w:rPr>
                <w:rFonts w:ascii="Calibri" w:hAnsi="Calibri" w:cs="Calibri"/>
                <w:b/>
                <w:bCs/>
                <w:color w:val="0000FF"/>
                <w:sz w:val="16"/>
                <w:szCs w:val="18"/>
              </w:rPr>
              <w:t>-ID of the MT´s CU is passed from the IAB node to the IAB DU´s CU via F1AP.</w:t>
            </w:r>
          </w:p>
          <w:p w14:paraId="67C12F9C"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794C6722"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Option 1: Use existing procedure(s) for triggering F1 Setup and for reporting the outcome of the F1Setup back to the DU´s source </w:t>
            </w:r>
            <w:proofErr w:type="gramStart"/>
            <w:r w:rsidRPr="00B243B4">
              <w:rPr>
                <w:rFonts w:ascii="Calibri" w:hAnsi="Calibri" w:cs="Calibri"/>
                <w:b/>
                <w:bCs/>
                <w:color w:val="0000FF"/>
                <w:sz w:val="16"/>
                <w:szCs w:val="18"/>
              </w:rPr>
              <w:t>CU</w:t>
            </w:r>
            <w:proofErr w:type="gramEnd"/>
          </w:p>
          <w:p w14:paraId="031D8009"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Option 2: Use new procedure(s) for triggering F1 Setup and for reporting the outcome of the F1Setup back to the DU´s source </w:t>
            </w:r>
            <w:proofErr w:type="gramStart"/>
            <w:r w:rsidRPr="00B243B4">
              <w:rPr>
                <w:rFonts w:ascii="Calibri" w:hAnsi="Calibri" w:cs="Calibri"/>
                <w:b/>
                <w:bCs/>
                <w:color w:val="0000FF"/>
                <w:sz w:val="16"/>
                <w:szCs w:val="18"/>
              </w:rPr>
              <w:t>CU</w:t>
            </w:r>
            <w:proofErr w:type="gramEnd"/>
            <w:r w:rsidRPr="00B243B4">
              <w:rPr>
                <w:rFonts w:ascii="Calibri" w:hAnsi="Calibri" w:cs="Calibri"/>
                <w:b/>
                <w:bCs/>
                <w:color w:val="0000FF"/>
                <w:sz w:val="16"/>
                <w:szCs w:val="18"/>
              </w:rPr>
              <w:t xml:space="preserve"> </w:t>
            </w:r>
          </w:p>
          <w:p w14:paraId="1DC59657"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B243B4">
              <w:rPr>
                <w:rFonts w:ascii="Calibri" w:hAnsi="Calibri" w:cs="Calibri"/>
                <w:b/>
                <w:bCs/>
                <w:color w:val="008000"/>
                <w:sz w:val="16"/>
                <w:szCs w:val="18"/>
              </w:rPr>
              <w:br/>
              <w:t xml:space="preserve">This agreement does not relate to the configuration sharing between two logical collocated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w:t>
            </w:r>
            <w:proofErr w:type="gramStart"/>
            <w:r w:rsidRPr="00B243B4">
              <w:rPr>
                <w:rFonts w:ascii="Calibri" w:hAnsi="Calibri" w:cs="Calibri"/>
                <w:b/>
                <w:bCs/>
                <w:color w:val="008000"/>
                <w:sz w:val="16"/>
                <w:szCs w:val="18"/>
              </w:rPr>
              <w:t>DUs</w:t>
            </w:r>
            <w:proofErr w:type="gramEnd"/>
          </w:p>
          <w:p w14:paraId="40253C82"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To be continued: </w:t>
            </w:r>
          </w:p>
          <w:p w14:paraId="6F8F1AD8"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It is FFS whether such mapping information is needed for all activated cells.</w:t>
            </w:r>
          </w:p>
          <w:p w14:paraId="6005C594"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The DU’s CU can initiate the </w:t>
            </w:r>
            <w:proofErr w:type="spellStart"/>
            <w:r w:rsidRPr="00B243B4">
              <w:rPr>
                <w:rFonts w:ascii="Calibri" w:hAnsi="Calibri" w:cs="Calibri"/>
                <w:b/>
                <w:bCs/>
                <w:color w:val="008000"/>
                <w:sz w:val="16"/>
                <w:szCs w:val="18"/>
              </w:rPr>
              <w:t>Xn</w:t>
            </w:r>
            <w:proofErr w:type="spellEnd"/>
            <w:r w:rsidRPr="00B243B4">
              <w:rPr>
                <w:rFonts w:ascii="Calibri" w:hAnsi="Calibri" w:cs="Calibri"/>
                <w:b/>
                <w:bCs/>
                <w:color w:val="008000"/>
                <w:sz w:val="16"/>
                <w:szCs w:val="18"/>
              </w:rPr>
              <w:t xml:space="preserve"> TM Management Procedure pertaining to an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-MT even though it has never had an RRC connection with this IAB-MT.</w:t>
            </w:r>
          </w:p>
          <w:p w14:paraId="5879BB5F"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-DU’s NCGI is configured by OAM, and, </w:t>
            </w:r>
            <w:proofErr w:type="gramStart"/>
            <w:r w:rsidRPr="00B243B4">
              <w:rPr>
                <w:rFonts w:ascii="Calibri" w:hAnsi="Calibri" w:cs="Calibri"/>
                <w:b/>
                <w:bCs/>
                <w:color w:val="008000"/>
                <w:sz w:val="16"/>
                <w:szCs w:val="18"/>
              </w:rPr>
              <w:t>e.g.</w:t>
            </w:r>
            <w:proofErr w:type="gramEnd"/>
            <w:r w:rsidRPr="00B243B4">
              <w:rPr>
                <w:rFonts w:ascii="Calibri" w:hAnsi="Calibri" w:cs="Calibri"/>
                <w:b/>
                <w:bCs/>
                <w:color w:val="008000"/>
                <w:sz w:val="16"/>
                <w:szCs w:val="18"/>
              </w:rPr>
              <w:t xml:space="preserve">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B243B4">
              <w:rPr>
                <w:rFonts w:ascii="Calibri" w:hAnsi="Calibri" w:cs="Calibri"/>
                <w:b/>
                <w:bCs/>
                <w:color w:val="008000"/>
                <w:sz w:val="16"/>
                <w:szCs w:val="18"/>
              </w:rPr>
              <w:br/>
              <w:t xml:space="preserve">The underlying assumption is that the DU´s OAM has visibility on the result of the CU-based CGI re-configuration. It needs to be further discussed how to ensure that such observability is supported. </w:t>
            </w:r>
          </w:p>
          <w:p w14:paraId="511607F9"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w:t>
            </w:r>
            <w:proofErr w:type="gramStart"/>
            <w:r w:rsidRPr="00B243B4">
              <w:rPr>
                <w:rFonts w:ascii="Calibri" w:hAnsi="Calibri" w:cs="Calibri"/>
                <w:b/>
                <w:bCs/>
                <w:color w:val="008000"/>
                <w:sz w:val="16"/>
                <w:szCs w:val="18"/>
              </w:rPr>
              <w:t>SA5</w:t>
            </w:r>
            <w:proofErr w:type="gramEnd"/>
            <w:r w:rsidRPr="00B243B4">
              <w:rPr>
                <w:rFonts w:ascii="Calibri" w:hAnsi="Calibri" w:cs="Calibri"/>
                <w:b/>
                <w:bCs/>
                <w:color w:val="008000"/>
                <w:sz w:val="16"/>
                <w:szCs w:val="18"/>
              </w:rPr>
              <w:t xml:space="preserve"> </w:t>
            </w:r>
          </w:p>
          <w:p w14:paraId="553CBAD7"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15D8ACB7"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Use cases requiring CGI re-configuration independent of CGI collision events needs to be further discussed and proven. If no other use cases than CGI collisions can be identified, the proposal above applies only to CGI collision </w:t>
            </w:r>
            <w:proofErr w:type="gramStart"/>
            <w:r w:rsidRPr="00B243B4">
              <w:rPr>
                <w:rFonts w:ascii="Calibri" w:hAnsi="Calibri" w:cs="Calibri"/>
                <w:b/>
                <w:bCs/>
                <w:color w:val="0000FF"/>
                <w:sz w:val="16"/>
                <w:szCs w:val="18"/>
              </w:rPr>
              <w:t>avoidance</w:t>
            </w:r>
            <w:proofErr w:type="gramEnd"/>
          </w:p>
          <w:p w14:paraId="34669D75"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t>Include “</w:t>
            </w:r>
            <w:r w:rsidRPr="00B243B4">
              <w:rPr>
                <w:rFonts w:ascii="Calibri" w:hAnsi="Calibri" w:cs="Calibri" w:hint="eastAsia"/>
                <w:b/>
                <w:bCs/>
                <w:color w:val="008000"/>
                <w:sz w:val="16"/>
                <w:szCs w:val="18"/>
              </w:rPr>
              <w:t>N</w:t>
            </w:r>
            <w:r w:rsidRPr="00B243B4">
              <w:rPr>
                <w:rFonts w:ascii="Calibri" w:hAnsi="Calibri" w:cs="Calibri"/>
                <w:b/>
                <w:bCs/>
                <w:color w:val="008000"/>
                <w:sz w:val="16"/>
                <w:szCs w:val="18"/>
              </w:rPr>
              <w:t>o PDU Session Indication” in the NGAP HANDOVER REQUEST message.</w:t>
            </w:r>
          </w:p>
          <w:p w14:paraId="5FB35516" w14:textId="77777777" w:rsidR="00FD428F" w:rsidRPr="00B243B4" w:rsidRDefault="00FD428F" w:rsidP="001A5D49">
            <w:pPr>
              <w:spacing w:after="120"/>
              <w:rPr>
                <w:rFonts w:ascii="Calibri" w:hAnsi="Calibri" w:cs="Calibri"/>
                <w:b/>
                <w:bCs/>
                <w:color w:val="008000"/>
                <w:sz w:val="16"/>
                <w:szCs w:val="18"/>
              </w:rPr>
            </w:pPr>
            <w:r w:rsidRPr="00B243B4">
              <w:rPr>
                <w:rFonts w:ascii="Calibri" w:hAnsi="Calibri" w:cs="Calibri"/>
                <w:b/>
                <w:bCs/>
                <w:color w:val="008000"/>
                <w:sz w:val="16"/>
                <w:szCs w:val="18"/>
              </w:rPr>
              <w:lastRenderedPageBreak/>
              <w:t xml:space="preserve">WA: legacy NG HO Required message with “dummy” PDU information is used. It needs to be further discussed if any specification changes are needed to describe the use of such dummy information. If specification changes </w:t>
            </w:r>
            <w:proofErr w:type="gramStart"/>
            <w:r w:rsidRPr="00B243B4">
              <w:rPr>
                <w:rFonts w:ascii="Calibri" w:hAnsi="Calibri" w:cs="Calibri"/>
                <w:b/>
                <w:bCs/>
                <w:color w:val="008000"/>
                <w:sz w:val="16"/>
                <w:szCs w:val="18"/>
              </w:rPr>
              <w:t>is</w:t>
            </w:r>
            <w:proofErr w:type="gramEnd"/>
            <w:r w:rsidRPr="00B243B4">
              <w:rPr>
                <w:rFonts w:ascii="Calibri" w:hAnsi="Calibri" w:cs="Calibri"/>
                <w:b/>
                <w:bCs/>
                <w:color w:val="008000"/>
                <w:sz w:val="16"/>
                <w:szCs w:val="18"/>
              </w:rPr>
              <w:t xml:space="preserve"> needed, consider whether an explicit indication is worth adding.</w:t>
            </w:r>
          </w:p>
          <w:p w14:paraId="7DD4270C"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4EEAF371"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RAN3 to introduce NGAP inter-</w:t>
            </w:r>
            <w:proofErr w:type="spellStart"/>
            <w:r w:rsidRPr="00B243B4">
              <w:rPr>
                <w:rFonts w:ascii="Calibri" w:hAnsi="Calibri" w:cs="Calibri"/>
                <w:b/>
                <w:bCs/>
                <w:color w:val="0000FF"/>
                <w:sz w:val="16"/>
                <w:szCs w:val="18"/>
              </w:rPr>
              <w:t>gNB</w:t>
            </w:r>
            <w:proofErr w:type="spellEnd"/>
            <w:r w:rsidRPr="00B243B4">
              <w:rPr>
                <w:rFonts w:ascii="Calibri" w:hAnsi="Calibri" w:cs="Calibri"/>
                <w:b/>
                <w:bCs/>
                <w:color w:val="0000FF"/>
                <w:sz w:val="16"/>
                <w:szCs w:val="18"/>
              </w:rPr>
              <w:t xml:space="preserve"> information exchange procedure(s) for exchange of IAB TMM messages and IAB Resource Coordination </w:t>
            </w:r>
            <w:proofErr w:type="gramStart"/>
            <w:r w:rsidRPr="00B243B4">
              <w:rPr>
                <w:rFonts w:ascii="Calibri" w:hAnsi="Calibri" w:cs="Calibri"/>
                <w:b/>
                <w:bCs/>
                <w:color w:val="0000FF"/>
                <w:sz w:val="16"/>
                <w:szCs w:val="18"/>
              </w:rPr>
              <w:t>messages</w:t>
            </w:r>
            <w:proofErr w:type="gramEnd"/>
          </w:p>
          <w:p w14:paraId="268A0819"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RAN3 to decide whether this procedure is generic, i.e., it can carry any information, or IAB-specific, i.e., limited to IAB-specific purposes.</w:t>
            </w:r>
          </w:p>
          <w:p w14:paraId="18657CF4" w14:textId="77777777" w:rsidR="00FD428F" w:rsidRPr="00B243B4" w:rsidRDefault="00FD428F" w:rsidP="001A5D49">
            <w:pPr>
              <w:spacing w:after="120"/>
              <w:rPr>
                <w:rFonts w:ascii="Calibri" w:hAnsi="Calibri" w:cs="Calibri"/>
                <w:b/>
                <w:color w:val="008000"/>
                <w:sz w:val="16"/>
                <w:szCs w:val="18"/>
              </w:rPr>
            </w:pPr>
            <w:r w:rsidRPr="00B243B4">
              <w:rPr>
                <w:rFonts w:ascii="Calibri" w:hAnsi="Calibri" w:cs="Calibri"/>
                <w:b/>
                <w:bCs/>
                <w:color w:val="008000"/>
                <w:sz w:val="16"/>
                <w:szCs w:val="18"/>
              </w:rPr>
              <w:t xml:space="preserve">After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 xml:space="preserve">-DU migration, the BH RLC and BAP routing configurations used in the non-F1 terminating topology for TMM with the </w:t>
            </w:r>
            <w:proofErr w:type="spellStart"/>
            <w:r w:rsidRPr="00B243B4">
              <w:rPr>
                <w:rFonts w:ascii="Calibri" w:hAnsi="Calibri" w:cs="Calibri"/>
                <w:b/>
                <w:bCs/>
                <w:color w:val="008000"/>
                <w:sz w:val="16"/>
                <w:szCs w:val="18"/>
              </w:rPr>
              <w:t>mIAB</w:t>
            </w:r>
            <w:proofErr w:type="spellEnd"/>
            <w:r w:rsidRPr="00B243B4">
              <w:rPr>
                <w:rFonts w:ascii="Calibri" w:hAnsi="Calibri" w:cs="Calibri"/>
                <w:b/>
                <w:bCs/>
                <w:color w:val="008000"/>
                <w:sz w:val="16"/>
                <w:szCs w:val="18"/>
              </w:rPr>
              <w:t>-DU’s source CU may be released.</w:t>
            </w:r>
          </w:p>
          <w:p w14:paraId="08775644"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653515F7"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Discussions on enhancements to legacy HO procedures to be taken at RAN3-121.</w:t>
            </w:r>
          </w:p>
          <w:p w14:paraId="40988577"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If no consensus on such enhancements, the following will be agreed:</w:t>
            </w:r>
          </w:p>
          <w:p w14:paraId="3644ECD0" w14:textId="77777777" w:rsidR="00FD428F" w:rsidRPr="00B243B4" w:rsidRDefault="00FD428F" w:rsidP="001A5D49">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For DU migration, the following baseline is enough for target CU being aware of the QoS profile for each UE traffic: </w:t>
            </w:r>
          </w:p>
          <w:p w14:paraId="0D3DC573" w14:textId="77777777" w:rsidR="00FD428F" w:rsidRDefault="00FD428F" w:rsidP="001A5D49">
            <w:pPr>
              <w:spacing w:after="120"/>
            </w:pPr>
            <w:r w:rsidRPr="00B243B4">
              <w:rPr>
                <w:rFonts w:ascii="Calibri" w:hAnsi="Calibri" w:cs="Calibri"/>
                <w:b/>
                <w:bCs/>
                <w:color w:val="0000FF"/>
                <w:sz w:val="16"/>
                <w:szCs w:val="18"/>
              </w:rPr>
              <w:t xml:space="preserve">The target CU for </w:t>
            </w:r>
            <w:proofErr w:type="spellStart"/>
            <w:r w:rsidRPr="00B243B4">
              <w:rPr>
                <w:rFonts w:ascii="Calibri" w:hAnsi="Calibri" w:cs="Calibri"/>
                <w:b/>
                <w:bCs/>
                <w:color w:val="0000FF"/>
                <w:sz w:val="16"/>
                <w:szCs w:val="18"/>
              </w:rPr>
              <w:t>mIAB</w:t>
            </w:r>
            <w:proofErr w:type="spellEnd"/>
            <w:r w:rsidRPr="00B243B4">
              <w:rPr>
                <w:rFonts w:ascii="Calibri" w:hAnsi="Calibri" w:cs="Calibri"/>
                <w:b/>
                <w:bCs/>
                <w:color w:val="0000FF"/>
                <w:sz w:val="16"/>
                <w:szCs w:val="18"/>
              </w:rPr>
              <w:t>-DU migration learns the traffic profile of the UE traffic from Handover Preparation procedures for individual UEs. No further enhancements are needed.</w:t>
            </w:r>
          </w:p>
        </w:tc>
      </w:tr>
    </w:tbl>
    <w:p w14:paraId="64CDC7D7" w14:textId="77777777" w:rsidR="00FD428F" w:rsidRDefault="00FD428F" w:rsidP="00FD428F">
      <w:pPr>
        <w:spacing w:after="0"/>
      </w:pPr>
    </w:p>
    <w:p w14:paraId="45786590" w14:textId="506B5D12" w:rsidR="00FD428F" w:rsidRDefault="00FD428F" w:rsidP="00FD428F">
      <w:pPr>
        <w:spacing w:after="0"/>
      </w:pPr>
      <w:r>
        <w:t xml:space="preserve">In another contribution, we have made the attempt to capture the baseline ST2 procedures for </w:t>
      </w:r>
      <w:proofErr w:type="spellStart"/>
      <w:r>
        <w:t>mIAB</w:t>
      </w:r>
      <w:proofErr w:type="spellEnd"/>
      <w:r>
        <w:t xml:space="preserve"> network integration, MT migration with and without </w:t>
      </w:r>
      <w:proofErr w:type="spellStart"/>
      <w:r>
        <w:t>Xn</w:t>
      </w:r>
      <w:proofErr w:type="spellEnd"/>
      <w:r>
        <w:t xml:space="preserve">, and DU migration. </w:t>
      </w:r>
      <w:r w:rsidR="00F6666B">
        <w:t>The present contribution discusses the following remaining open issues</w:t>
      </w:r>
      <w:r w:rsidR="00FA02D7">
        <w:t>:</w:t>
      </w:r>
    </w:p>
    <w:p w14:paraId="451E0A2E" w14:textId="727776D5" w:rsidR="00FA02D7" w:rsidRDefault="00FA02D7" w:rsidP="00FA02D7">
      <w:pPr>
        <w:pStyle w:val="ListParagraph"/>
        <w:numPr>
          <w:ilvl w:val="0"/>
          <w:numId w:val="40"/>
        </w:numPr>
        <w:spacing w:before="120" w:after="120"/>
        <w:contextualSpacing w:val="0"/>
      </w:pPr>
      <w:r w:rsidRPr="00E91FD3">
        <w:rPr>
          <w:highlight w:val="yellow"/>
        </w:rPr>
        <w:t>Issue 1</w:t>
      </w:r>
      <w:r>
        <w:t xml:space="preserve">: </w:t>
      </w:r>
      <w:r w:rsidR="00A6252E">
        <w:t>Whether to support the s</w:t>
      </w:r>
      <w:r>
        <w:t>election of DU’s CU by MT’s CU during mobile IAB integration.</w:t>
      </w:r>
    </w:p>
    <w:p w14:paraId="2C795310" w14:textId="77777777" w:rsidR="00FA02D7" w:rsidRDefault="00FA02D7" w:rsidP="00FA02D7">
      <w:pPr>
        <w:pStyle w:val="ListParagraph"/>
        <w:numPr>
          <w:ilvl w:val="0"/>
          <w:numId w:val="40"/>
        </w:numPr>
        <w:spacing w:before="120" w:after="120"/>
        <w:contextualSpacing w:val="0"/>
      </w:pPr>
      <w:r w:rsidRPr="00E91FD3">
        <w:rPr>
          <w:highlight w:val="yellow"/>
        </w:rPr>
        <w:t>Issue 2</w:t>
      </w:r>
      <w:r>
        <w:t>: How to enable inter-donor coordination, i.e., TMM and IAB Resource Coordination procedures.</w:t>
      </w:r>
    </w:p>
    <w:p w14:paraId="45746A2C" w14:textId="77777777" w:rsidR="00FA02D7" w:rsidRDefault="00FA02D7" w:rsidP="00FA02D7">
      <w:pPr>
        <w:pStyle w:val="ListParagraph"/>
        <w:numPr>
          <w:ilvl w:val="0"/>
          <w:numId w:val="40"/>
        </w:numPr>
        <w:spacing w:before="120" w:after="120"/>
        <w:contextualSpacing w:val="0"/>
      </w:pPr>
      <w:r w:rsidRPr="00E91FD3">
        <w:rPr>
          <w:highlight w:val="yellow"/>
        </w:rPr>
        <w:t>Issue 3</w:t>
      </w:r>
      <w:r>
        <w:t xml:space="preserve">: How to pass the </w:t>
      </w:r>
      <w:proofErr w:type="spellStart"/>
      <w:r>
        <w:t>mIAB</w:t>
      </w:r>
      <w:proofErr w:type="spellEnd"/>
      <w:r>
        <w:t xml:space="preserve">-MT’s ULI to </w:t>
      </w:r>
      <w:proofErr w:type="spellStart"/>
      <w:r>
        <w:t>mIAB</w:t>
      </w:r>
      <w:proofErr w:type="spellEnd"/>
      <w:r>
        <w:t>-DU’s CU as requested by SA2.</w:t>
      </w:r>
    </w:p>
    <w:p w14:paraId="1E1A0044" w14:textId="77777777" w:rsidR="00FA02D7" w:rsidRDefault="00FA02D7" w:rsidP="00FA02D7">
      <w:pPr>
        <w:pStyle w:val="ListParagraph"/>
        <w:numPr>
          <w:ilvl w:val="0"/>
          <w:numId w:val="40"/>
        </w:numPr>
        <w:spacing w:before="120" w:after="120"/>
        <w:contextualSpacing w:val="0"/>
      </w:pPr>
      <w:r w:rsidRPr="00E91FD3">
        <w:rPr>
          <w:highlight w:val="yellow"/>
        </w:rPr>
        <w:t>Issue 4</w:t>
      </w:r>
      <w:r>
        <w:t>: The F1AP procedures to trigger DU migration and report its outcome to the source DU’s CU.</w:t>
      </w:r>
    </w:p>
    <w:p w14:paraId="6688E1DB" w14:textId="77777777" w:rsidR="00FA02D7" w:rsidRDefault="00FA02D7" w:rsidP="00FA02D7">
      <w:pPr>
        <w:pStyle w:val="ListParagraph"/>
        <w:numPr>
          <w:ilvl w:val="0"/>
          <w:numId w:val="40"/>
        </w:numPr>
        <w:spacing w:before="120" w:after="120"/>
        <w:contextualSpacing w:val="0"/>
      </w:pPr>
      <w:r w:rsidRPr="00E91FD3">
        <w:rPr>
          <w:highlight w:val="yellow"/>
        </w:rPr>
        <w:t>Issue 5</w:t>
      </w:r>
      <w:r>
        <w:t>: Details on the mapping between cells on source- and target logical DUs during DU migration.</w:t>
      </w:r>
    </w:p>
    <w:p w14:paraId="5F31851C" w14:textId="4833F912" w:rsidR="00CD6301" w:rsidRDefault="00FA02D7" w:rsidP="00FA02D7">
      <w:pPr>
        <w:pStyle w:val="ListParagraph"/>
        <w:numPr>
          <w:ilvl w:val="0"/>
          <w:numId w:val="40"/>
        </w:numPr>
        <w:spacing w:before="120" w:after="120"/>
        <w:contextualSpacing w:val="0"/>
      </w:pPr>
      <w:r w:rsidRPr="00790CC7">
        <w:rPr>
          <w:highlight w:val="yellow"/>
        </w:rPr>
        <w:t>Issue 6</w:t>
      </w:r>
      <w:r w:rsidRPr="00CD6301">
        <w:t>:</w:t>
      </w:r>
      <w:r>
        <w:t xml:space="preserve"> Information exchange </w:t>
      </w:r>
      <w:r w:rsidR="00CD6301">
        <w:t xml:space="preserve">related to </w:t>
      </w:r>
      <w:proofErr w:type="spellStart"/>
      <w:r w:rsidR="00CD6301">
        <w:t>mIAB</w:t>
      </w:r>
      <w:proofErr w:type="spellEnd"/>
      <w:r w:rsidR="00CD6301">
        <w:t>-node indication</w:t>
      </w:r>
      <w:r w:rsidR="00BE491B">
        <w:t>.</w:t>
      </w:r>
    </w:p>
    <w:p w14:paraId="2C4D6E65" w14:textId="3116B02E" w:rsidR="00FA02D7" w:rsidRDefault="00CD6301" w:rsidP="00FA02D7">
      <w:pPr>
        <w:pStyle w:val="ListParagraph"/>
        <w:numPr>
          <w:ilvl w:val="0"/>
          <w:numId w:val="40"/>
        </w:numPr>
        <w:spacing w:before="120" w:after="120"/>
        <w:contextualSpacing w:val="0"/>
      </w:pPr>
      <w:r w:rsidRPr="00CD6301">
        <w:rPr>
          <w:highlight w:val="yellow"/>
        </w:rPr>
        <w:t>Issue 7</w:t>
      </w:r>
      <w:r>
        <w:t>: Information exchange related to</w:t>
      </w:r>
      <w:r w:rsidR="00FA02D7">
        <w:t xml:space="preserve"> </w:t>
      </w:r>
      <w:proofErr w:type="spellStart"/>
      <w:r w:rsidR="00FA02D7">
        <w:t>mIAB</w:t>
      </w:r>
      <w:proofErr w:type="spellEnd"/>
      <w:r w:rsidR="00FA02D7">
        <w:t>-</w:t>
      </w:r>
      <w:r>
        <w:t xml:space="preserve">node </w:t>
      </w:r>
      <w:r w:rsidR="00FA02D7">
        <w:t>authorization.</w:t>
      </w:r>
    </w:p>
    <w:p w14:paraId="329230C2" w14:textId="77777777" w:rsidR="00F305CC" w:rsidRDefault="00F305CC" w:rsidP="00F305CC">
      <w:pPr>
        <w:pStyle w:val="Heading1"/>
      </w:pPr>
      <w:r w:rsidRPr="00320A6B">
        <w:t>2</w:t>
      </w:r>
      <w:r w:rsidRPr="00320A6B">
        <w:tab/>
      </w:r>
      <w:r>
        <w:t>Discussion</w:t>
      </w:r>
    </w:p>
    <w:p w14:paraId="4009FF71" w14:textId="77777777" w:rsidR="00726793" w:rsidRDefault="00726793" w:rsidP="00726793">
      <w:pPr>
        <w:pStyle w:val="Heading2"/>
        <w:rPr>
          <w:highlight w:val="yellow"/>
        </w:rPr>
      </w:pPr>
      <w:r>
        <w:rPr>
          <w:highlight w:val="yellow"/>
        </w:rPr>
        <w:t>Issue 1:</w:t>
      </w:r>
      <w:r w:rsidRPr="002335F9">
        <w:t xml:space="preserve"> </w:t>
      </w:r>
      <w:r>
        <w:t xml:space="preserve">Selection of </w:t>
      </w:r>
      <w:proofErr w:type="spellStart"/>
      <w:r>
        <w:t>mIAB</w:t>
      </w:r>
      <w:proofErr w:type="spellEnd"/>
      <w:r>
        <w:t>-DU’s CU during mobile IAB integration</w:t>
      </w:r>
    </w:p>
    <w:p w14:paraId="5A9956AF" w14:textId="0DACCAF0" w:rsidR="00726793" w:rsidRDefault="00726793" w:rsidP="00726793">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For the selection of the </w:t>
      </w:r>
      <w:proofErr w:type="spellStart"/>
      <w:r w:rsidR="000A4D3B">
        <w:rPr>
          <w:rFonts w:ascii="Times New Roman" w:hAnsi="Times New Roman"/>
          <w:b w:val="0"/>
        </w:rPr>
        <w:t>mIAB</w:t>
      </w:r>
      <w:proofErr w:type="spellEnd"/>
      <w:r w:rsidR="000A4D3B">
        <w:rPr>
          <w:rFonts w:ascii="Times New Roman" w:hAnsi="Times New Roman"/>
          <w:b w:val="0"/>
        </w:rPr>
        <w:t>-DU’s</w:t>
      </w:r>
      <w:r>
        <w:rPr>
          <w:rFonts w:ascii="Times New Roman" w:hAnsi="Times New Roman"/>
          <w:b w:val="0"/>
        </w:rPr>
        <w:t xml:space="preserve"> CU during network integration, RAN3 agreed [1]:</w:t>
      </w:r>
    </w:p>
    <w:tbl>
      <w:tblPr>
        <w:tblStyle w:val="TableGrid"/>
        <w:tblW w:w="0" w:type="auto"/>
        <w:tblInd w:w="175" w:type="dxa"/>
        <w:tblLook w:val="04A0" w:firstRow="1" w:lastRow="0" w:firstColumn="1" w:lastColumn="0" w:noHBand="0" w:noVBand="1"/>
      </w:tblPr>
      <w:tblGrid>
        <w:gridCol w:w="9456"/>
      </w:tblGrid>
      <w:tr w:rsidR="00726793" w14:paraId="4CB00A6A" w14:textId="77777777" w:rsidTr="00461AC3">
        <w:tc>
          <w:tcPr>
            <w:tcW w:w="9456" w:type="dxa"/>
          </w:tcPr>
          <w:p w14:paraId="479F6019" w14:textId="77777777" w:rsidR="00726793" w:rsidRPr="00CB4F95" w:rsidRDefault="00726793" w:rsidP="000A4D3B">
            <w:pPr>
              <w:spacing w:before="120" w:after="120"/>
              <w:rPr>
                <w:rFonts w:ascii="Calibri" w:hAnsi="Calibri" w:cs="Calibri"/>
                <w:b/>
                <w:bCs/>
                <w:color w:val="008000"/>
                <w:sz w:val="18"/>
              </w:rPr>
            </w:pPr>
            <w:r w:rsidRPr="00CB4F95">
              <w:rPr>
                <w:rFonts w:ascii="Calibri" w:hAnsi="Calibri" w:cs="Calibri"/>
                <w:b/>
                <w:bCs/>
                <w:color w:val="008000"/>
                <w:sz w:val="18"/>
              </w:rPr>
              <w:t xml:space="preserve">WA: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and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-MT can integrate at different CUs. For this purpose, OAM can be used to configure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w:t>
            </w:r>
            <w:proofErr w:type="gramStart"/>
            <w:r w:rsidRPr="00CB4F95">
              <w:rPr>
                <w:rFonts w:ascii="Calibri" w:hAnsi="Calibri" w:cs="Calibri"/>
                <w:b/>
                <w:bCs/>
                <w:color w:val="008000"/>
                <w:sz w:val="18"/>
              </w:rPr>
              <w:t>with:</w:t>
            </w:r>
            <w:proofErr w:type="gramEnd"/>
            <w:r w:rsidRPr="00CB4F95">
              <w:rPr>
                <w:rFonts w:ascii="Calibri" w:hAnsi="Calibri" w:cs="Calibri"/>
                <w:b/>
                <w:bCs/>
                <w:color w:val="008000"/>
                <w:sz w:val="18"/>
              </w:rPr>
              <w:t xml:space="preserve"> a) the donor CU to connect to, and b) the parameters used by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to establish TNL associations, </w:t>
            </w:r>
            <w:proofErr w:type="spellStart"/>
            <w:r w:rsidRPr="00CB4F95">
              <w:rPr>
                <w:rFonts w:ascii="Calibri" w:hAnsi="Calibri" w:cs="Calibri"/>
                <w:b/>
                <w:bCs/>
                <w:color w:val="008000"/>
                <w:sz w:val="18"/>
              </w:rPr>
              <w:t>IPSec</w:t>
            </w:r>
            <w:proofErr w:type="spellEnd"/>
            <w:r w:rsidRPr="00CB4F95">
              <w:rPr>
                <w:rFonts w:ascii="Calibri" w:hAnsi="Calibri" w:cs="Calibri"/>
                <w:b/>
                <w:bCs/>
                <w:color w:val="008000"/>
                <w:sz w:val="18"/>
              </w:rPr>
              <w:t xml:space="preserve"> tunnels and F1 connectivity to this donor CU. </w:t>
            </w:r>
          </w:p>
          <w:p w14:paraId="483687D5" w14:textId="77777777" w:rsidR="00726793" w:rsidRPr="00CB4F95" w:rsidRDefault="00726793" w:rsidP="000A4D3B">
            <w:pPr>
              <w:spacing w:before="120" w:after="120"/>
              <w:rPr>
                <w:rFonts w:ascii="Calibri" w:hAnsi="Calibri" w:cs="Calibri"/>
                <w:b/>
                <w:bCs/>
                <w:color w:val="0000FF"/>
                <w:sz w:val="18"/>
              </w:rPr>
            </w:pPr>
            <w:r w:rsidRPr="00CB4F95">
              <w:rPr>
                <w:rFonts w:ascii="Calibri" w:hAnsi="Calibri" w:cs="Calibri"/>
                <w:b/>
                <w:bCs/>
                <w:color w:val="0000FF"/>
                <w:sz w:val="18"/>
              </w:rPr>
              <w:t>To be continued:</w:t>
            </w:r>
          </w:p>
          <w:p w14:paraId="6F05CDAB" w14:textId="77777777" w:rsidR="00726793" w:rsidRPr="008A0200" w:rsidRDefault="00726793" w:rsidP="000A4D3B">
            <w:pPr>
              <w:spacing w:before="120" w:after="120"/>
              <w:rPr>
                <w:rFonts w:ascii="Calibri" w:hAnsi="Calibri" w:cs="Calibri"/>
                <w:b/>
                <w:bCs/>
                <w:color w:val="00B050"/>
              </w:rPr>
            </w:pPr>
            <w:r w:rsidRPr="00CB4F95">
              <w:rPr>
                <w:rFonts w:ascii="Calibri" w:hAnsi="Calibri" w:cs="Calibri"/>
                <w:b/>
                <w:bCs/>
                <w:color w:val="0000FF"/>
                <w:sz w:val="18"/>
              </w:rPr>
              <w:t>Whether the information on the DU’s CU can also be configured by the MT’s CU.</w:t>
            </w:r>
          </w:p>
        </w:tc>
      </w:tr>
    </w:tbl>
    <w:p w14:paraId="188C5090" w14:textId="3046AF51" w:rsidR="00726793" w:rsidRDefault="00726793" w:rsidP="00726793">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For the selection of the </w:t>
      </w:r>
      <w:r w:rsidR="000A4D3B">
        <w:rPr>
          <w:rFonts w:ascii="Times New Roman" w:hAnsi="Times New Roman"/>
          <w:b w:val="0"/>
        </w:rPr>
        <w:t xml:space="preserve">target logical </w:t>
      </w:r>
      <w:proofErr w:type="spellStart"/>
      <w:r w:rsidR="000A4D3B">
        <w:rPr>
          <w:rFonts w:ascii="Times New Roman" w:hAnsi="Times New Roman"/>
          <w:b w:val="0"/>
        </w:rPr>
        <w:t>mIAB</w:t>
      </w:r>
      <w:proofErr w:type="spellEnd"/>
      <w:r w:rsidR="000A4D3B">
        <w:rPr>
          <w:rFonts w:ascii="Times New Roman" w:hAnsi="Times New Roman"/>
          <w:b w:val="0"/>
        </w:rPr>
        <w:t>-DU’s</w:t>
      </w:r>
      <w:r>
        <w:rPr>
          <w:rFonts w:ascii="Times New Roman" w:hAnsi="Times New Roman"/>
          <w:b w:val="0"/>
        </w:rPr>
        <w:t xml:space="preserve"> CU during DU migration, RAN3 agreed in the prior meeting [</w:t>
      </w:r>
      <w:r w:rsidR="000A4D3B">
        <w:rPr>
          <w:rFonts w:ascii="Times New Roman" w:hAnsi="Times New Roman"/>
          <w:b w:val="0"/>
        </w:rPr>
        <w:t>2</w:t>
      </w:r>
      <w:r>
        <w:rPr>
          <w:rFonts w:ascii="Times New Roman" w:hAnsi="Times New Roman"/>
          <w:b w:val="0"/>
        </w:rPr>
        <w:t>]:</w:t>
      </w:r>
    </w:p>
    <w:tbl>
      <w:tblPr>
        <w:tblStyle w:val="TableGrid"/>
        <w:tblW w:w="0" w:type="auto"/>
        <w:tblInd w:w="175" w:type="dxa"/>
        <w:tblLook w:val="04A0" w:firstRow="1" w:lastRow="0" w:firstColumn="1" w:lastColumn="0" w:noHBand="0" w:noVBand="1"/>
      </w:tblPr>
      <w:tblGrid>
        <w:gridCol w:w="9456"/>
      </w:tblGrid>
      <w:tr w:rsidR="00726793" w14:paraId="1C7D39E0" w14:textId="77777777" w:rsidTr="00461AC3">
        <w:tc>
          <w:tcPr>
            <w:tcW w:w="9456" w:type="dxa"/>
          </w:tcPr>
          <w:p w14:paraId="59FB65CC" w14:textId="77777777" w:rsidR="00726793" w:rsidRPr="00F61F5B" w:rsidRDefault="00726793" w:rsidP="000A4D3B">
            <w:pPr>
              <w:widowControl w:val="0"/>
              <w:spacing w:before="120" w:after="120"/>
              <w:ind w:left="144" w:hanging="144"/>
              <w:rPr>
                <w:rFonts w:ascii="Calibri" w:hAnsi="Calibri" w:cs="Calibri"/>
                <w:b/>
                <w:color w:val="008000"/>
                <w:sz w:val="18"/>
                <w:szCs w:val="18"/>
              </w:rPr>
            </w:pPr>
            <w:r w:rsidRPr="00EA369B">
              <w:rPr>
                <w:rFonts w:ascii="Calibri" w:hAnsi="Calibri" w:cs="Calibri"/>
                <w:b/>
                <w:color w:val="008000"/>
                <w:sz w:val="18"/>
                <w:szCs w:val="18"/>
              </w:rPr>
              <w:t xml:space="preserve">Target donor CU selection for </w:t>
            </w:r>
            <w:proofErr w:type="spellStart"/>
            <w:r w:rsidRPr="00EA369B">
              <w:rPr>
                <w:rFonts w:ascii="Calibri" w:hAnsi="Calibri" w:cs="Calibri"/>
                <w:b/>
                <w:color w:val="008000"/>
                <w:sz w:val="18"/>
                <w:szCs w:val="18"/>
              </w:rPr>
              <w:t>mIAB</w:t>
            </w:r>
            <w:proofErr w:type="spellEnd"/>
            <w:r w:rsidRPr="00EA369B">
              <w:rPr>
                <w:rFonts w:ascii="Calibri" w:hAnsi="Calibri" w:cs="Calibri"/>
                <w:b/>
                <w:color w:val="008000"/>
                <w:sz w:val="18"/>
                <w:szCs w:val="18"/>
              </w:rPr>
              <w:t>-DU migration and triggering conditions for F1 setup can be up to source CU implementation (unless it is justified that this is not possible) or based on OAM configuration at the source CU.</w:t>
            </w:r>
          </w:p>
        </w:tc>
      </w:tr>
    </w:tbl>
    <w:p w14:paraId="0B21F608" w14:textId="7CFA2042" w:rsidR="00726793" w:rsidRDefault="00726793" w:rsidP="00726793">
      <w:pPr>
        <w:snapToGrid w:val="0"/>
        <w:spacing w:before="120" w:after="120"/>
      </w:pPr>
      <w:r>
        <w:t xml:space="preserve">RAN3 </w:t>
      </w:r>
      <w:r w:rsidRPr="00EB64FE">
        <w:t xml:space="preserve">did </w:t>
      </w:r>
      <w:r w:rsidRPr="00EB64FE">
        <w:rPr>
          <w:i/>
          <w:iCs/>
        </w:rPr>
        <w:t>not</w:t>
      </w:r>
      <w:r w:rsidRPr="00EB64FE">
        <w:t xml:space="preserve"> agree</w:t>
      </w:r>
      <w:r>
        <w:t xml:space="preserve"> that the </w:t>
      </w:r>
      <w:r w:rsidR="000A4D3B">
        <w:t>MT’s</w:t>
      </w:r>
      <w:r>
        <w:t xml:space="preserve"> CU can select the target </w:t>
      </w:r>
      <w:r w:rsidR="000A4D3B">
        <w:t>logical DU’s</w:t>
      </w:r>
      <w:r>
        <w:t xml:space="preserve"> CU during DU migration. To </w:t>
      </w:r>
      <w:r w:rsidR="00B5518A">
        <w:t xml:space="preserve">have consistent </w:t>
      </w:r>
      <w:proofErr w:type="spellStart"/>
      <w:r w:rsidR="00B5518A">
        <w:t>behavior</w:t>
      </w:r>
      <w:proofErr w:type="spellEnd"/>
      <w:r w:rsidR="00B5518A">
        <w:t xml:space="preserve"> for </w:t>
      </w:r>
      <w:proofErr w:type="spellStart"/>
      <w:r w:rsidR="00B5518A">
        <w:t>mIAB</w:t>
      </w:r>
      <w:proofErr w:type="spellEnd"/>
      <w:r w:rsidR="00B5518A">
        <w:t>-node integration and DU migration</w:t>
      </w:r>
      <w:r>
        <w:t xml:space="preserve">, </w:t>
      </w:r>
      <w:r w:rsidR="003012EC">
        <w:t xml:space="preserve">this implies that </w:t>
      </w:r>
      <w:r>
        <w:t xml:space="preserve">the </w:t>
      </w:r>
      <w:r w:rsidR="000A4D3B">
        <w:t>MT’s</w:t>
      </w:r>
      <w:r>
        <w:t xml:space="preserve"> CU should also be precluded from determining the </w:t>
      </w:r>
      <w:r w:rsidR="000A4D3B">
        <w:t xml:space="preserve">DU’s </w:t>
      </w:r>
      <w:r>
        <w:t xml:space="preserve">CU during </w:t>
      </w:r>
      <w:proofErr w:type="spellStart"/>
      <w:r>
        <w:t>mIAB</w:t>
      </w:r>
      <w:proofErr w:type="spellEnd"/>
      <w:r>
        <w:t>-node integration.</w:t>
      </w:r>
    </w:p>
    <w:p w14:paraId="30E85877" w14:textId="44F048F0" w:rsidR="00726793" w:rsidRPr="00F61F5B" w:rsidRDefault="00726793" w:rsidP="00726793">
      <w:pPr>
        <w:snapToGrid w:val="0"/>
        <w:spacing w:before="120" w:after="120"/>
        <w:rPr>
          <w:b/>
          <w:bCs/>
        </w:rPr>
      </w:pPr>
      <w:r w:rsidRPr="00F61F5B">
        <w:rPr>
          <w:b/>
          <w:bCs/>
        </w:rPr>
        <w:t>Observation</w:t>
      </w:r>
      <w:r>
        <w:rPr>
          <w:b/>
          <w:bCs/>
        </w:rPr>
        <w:t xml:space="preserve"> 1</w:t>
      </w:r>
      <w:r w:rsidRPr="00F61F5B">
        <w:rPr>
          <w:b/>
          <w:bCs/>
        </w:rPr>
        <w:t xml:space="preserve">: </w:t>
      </w:r>
      <w:r>
        <w:rPr>
          <w:b/>
          <w:bCs/>
        </w:rPr>
        <w:t>It would be inconsistent to allow the</w:t>
      </w:r>
      <w:r w:rsidRPr="00F61F5B">
        <w:rPr>
          <w:b/>
          <w:bCs/>
        </w:rPr>
        <w:t xml:space="preserve"> </w:t>
      </w:r>
      <w:r w:rsidR="000A4D3B">
        <w:rPr>
          <w:b/>
          <w:bCs/>
        </w:rPr>
        <w:t>MT’s</w:t>
      </w:r>
      <w:r w:rsidRPr="00F61F5B">
        <w:rPr>
          <w:b/>
          <w:bCs/>
        </w:rPr>
        <w:t xml:space="preserve"> CU </w:t>
      </w:r>
      <w:r>
        <w:rPr>
          <w:b/>
          <w:bCs/>
        </w:rPr>
        <w:t>to select</w:t>
      </w:r>
      <w:r w:rsidRPr="00F61F5B">
        <w:rPr>
          <w:b/>
          <w:bCs/>
        </w:rPr>
        <w:t xml:space="preserve"> the </w:t>
      </w:r>
      <w:r w:rsidR="000A4D3B">
        <w:rPr>
          <w:b/>
          <w:bCs/>
        </w:rPr>
        <w:t>DU’s</w:t>
      </w:r>
      <w:r w:rsidRPr="00F61F5B">
        <w:rPr>
          <w:b/>
          <w:bCs/>
        </w:rPr>
        <w:t xml:space="preserve"> CU </w:t>
      </w:r>
      <w:r w:rsidR="000A4D3B" w:rsidRPr="009B0102">
        <w:rPr>
          <w:b/>
          <w:bCs/>
          <w:u w:val="single"/>
        </w:rPr>
        <w:t>only</w:t>
      </w:r>
      <w:r w:rsidR="000A4D3B">
        <w:rPr>
          <w:b/>
          <w:bCs/>
        </w:rPr>
        <w:t xml:space="preserve"> </w:t>
      </w:r>
      <w:r w:rsidRPr="00F61F5B">
        <w:rPr>
          <w:b/>
          <w:bCs/>
        </w:rPr>
        <w:t xml:space="preserve">during </w:t>
      </w:r>
      <w:proofErr w:type="spellStart"/>
      <w:r w:rsidRPr="00F61F5B">
        <w:rPr>
          <w:b/>
          <w:bCs/>
        </w:rPr>
        <w:t>mIAB</w:t>
      </w:r>
      <w:proofErr w:type="spellEnd"/>
      <w:r w:rsidRPr="00F61F5B">
        <w:rPr>
          <w:b/>
          <w:bCs/>
        </w:rPr>
        <w:t>-node integration</w:t>
      </w:r>
      <w:r>
        <w:rPr>
          <w:b/>
          <w:bCs/>
        </w:rPr>
        <w:t xml:space="preserve"> but </w:t>
      </w:r>
      <w:r w:rsidRPr="009B0102">
        <w:rPr>
          <w:b/>
          <w:bCs/>
          <w:u w:val="single"/>
        </w:rPr>
        <w:t>not</w:t>
      </w:r>
      <w:r>
        <w:rPr>
          <w:b/>
          <w:bCs/>
        </w:rPr>
        <w:t xml:space="preserve"> during DU migration.</w:t>
      </w:r>
    </w:p>
    <w:p w14:paraId="5C96929D" w14:textId="7998144C" w:rsidR="00726793" w:rsidRPr="00B274B9" w:rsidRDefault="00726793" w:rsidP="00726793">
      <w:pPr>
        <w:snapToGrid w:val="0"/>
        <w:spacing w:before="120" w:after="120"/>
        <w:rPr>
          <w:b/>
          <w:bCs/>
        </w:rPr>
      </w:pPr>
      <w:r w:rsidRPr="00B274B9">
        <w:rPr>
          <w:b/>
          <w:bCs/>
        </w:rPr>
        <w:t>Proposal</w:t>
      </w:r>
      <w:r>
        <w:rPr>
          <w:b/>
          <w:bCs/>
        </w:rPr>
        <w:t xml:space="preserve"> 1</w:t>
      </w:r>
      <w:r w:rsidR="0002050E">
        <w:rPr>
          <w:b/>
          <w:bCs/>
        </w:rPr>
        <w:t>a</w:t>
      </w:r>
      <w:r w:rsidRPr="00B274B9">
        <w:rPr>
          <w:b/>
          <w:bCs/>
        </w:rPr>
        <w:t xml:space="preserve">: During network integration, the </w:t>
      </w:r>
      <w:r w:rsidR="000A4D3B">
        <w:rPr>
          <w:b/>
          <w:bCs/>
        </w:rPr>
        <w:t xml:space="preserve">DU’s </w:t>
      </w:r>
      <w:r w:rsidRPr="00B274B9">
        <w:rPr>
          <w:b/>
          <w:bCs/>
        </w:rPr>
        <w:t xml:space="preserve">CU can only be selected by the </w:t>
      </w:r>
      <w:proofErr w:type="spellStart"/>
      <w:r w:rsidRPr="00B274B9">
        <w:rPr>
          <w:b/>
          <w:bCs/>
        </w:rPr>
        <w:t>mIAB</w:t>
      </w:r>
      <w:proofErr w:type="spellEnd"/>
      <w:r w:rsidRPr="00B274B9">
        <w:rPr>
          <w:b/>
          <w:bCs/>
        </w:rPr>
        <w:t>-node’s OAM.</w:t>
      </w:r>
    </w:p>
    <w:p w14:paraId="1606989E" w14:textId="4607675C" w:rsidR="0002050E" w:rsidRDefault="0002050E" w:rsidP="0002050E">
      <w:pPr>
        <w:spacing w:after="60"/>
        <w:rPr>
          <w:b/>
          <w:bCs/>
        </w:rPr>
      </w:pPr>
      <w:r w:rsidRPr="00B274B9">
        <w:rPr>
          <w:b/>
          <w:bCs/>
        </w:rPr>
        <w:lastRenderedPageBreak/>
        <w:t>Proposal</w:t>
      </w:r>
      <w:r>
        <w:rPr>
          <w:b/>
          <w:bCs/>
        </w:rPr>
        <w:t xml:space="preserve"> 1b</w:t>
      </w:r>
      <w:r w:rsidRPr="00B274B9">
        <w:rPr>
          <w:b/>
          <w:bCs/>
        </w:rPr>
        <w:t xml:space="preserve">: </w:t>
      </w:r>
      <w:r>
        <w:rPr>
          <w:b/>
          <w:bCs/>
        </w:rPr>
        <w:t xml:space="preserve">Agree </w:t>
      </w:r>
      <w:r w:rsidRPr="0002050E">
        <w:rPr>
          <w:b/>
          <w:bCs/>
        </w:rPr>
        <w:t xml:space="preserve">WA: “The </w:t>
      </w:r>
      <w:proofErr w:type="spellStart"/>
      <w:r w:rsidRPr="0002050E">
        <w:rPr>
          <w:b/>
          <w:bCs/>
        </w:rPr>
        <w:t>mIAB</w:t>
      </w:r>
      <w:proofErr w:type="spellEnd"/>
      <w:r w:rsidRPr="0002050E">
        <w:rPr>
          <w:b/>
          <w:bCs/>
        </w:rPr>
        <w:t xml:space="preserve">-DU and </w:t>
      </w:r>
      <w:proofErr w:type="spellStart"/>
      <w:r w:rsidRPr="0002050E">
        <w:rPr>
          <w:b/>
          <w:bCs/>
        </w:rPr>
        <w:t>mIAB</w:t>
      </w:r>
      <w:proofErr w:type="spellEnd"/>
      <w:r w:rsidRPr="0002050E">
        <w:rPr>
          <w:b/>
          <w:bCs/>
        </w:rPr>
        <w:t xml:space="preserve">-MT can integrate at different CUs. For this purpose, OAM can be used to configure the </w:t>
      </w:r>
      <w:proofErr w:type="spellStart"/>
      <w:r w:rsidRPr="0002050E">
        <w:rPr>
          <w:b/>
          <w:bCs/>
        </w:rPr>
        <w:t>mIAB</w:t>
      </w:r>
      <w:proofErr w:type="spellEnd"/>
      <w:r w:rsidRPr="0002050E">
        <w:rPr>
          <w:b/>
          <w:bCs/>
        </w:rPr>
        <w:t xml:space="preserve">-DU </w:t>
      </w:r>
      <w:proofErr w:type="gramStart"/>
      <w:r w:rsidRPr="0002050E">
        <w:rPr>
          <w:b/>
          <w:bCs/>
        </w:rPr>
        <w:t>with:</w:t>
      </w:r>
      <w:proofErr w:type="gramEnd"/>
      <w:r w:rsidRPr="0002050E">
        <w:rPr>
          <w:b/>
          <w:bCs/>
        </w:rPr>
        <w:t xml:space="preserve"> a) the donor CU to connect to, and b) the parameters used by the </w:t>
      </w:r>
      <w:proofErr w:type="spellStart"/>
      <w:r w:rsidRPr="0002050E">
        <w:rPr>
          <w:b/>
          <w:bCs/>
        </w:rPr>
        <w:t>mIAB</w:t>
      </w:r>
      <w:proofErr w:type="spellEnd"/>
      <w:r w:rsidRPr="0002050E">
        <w:rPr>
          <w:b/>
          <w:bCs/>
        </w:rPr>
        <w:t xml:space="preserve">-DU to establish TNL associations, </w:t>
      </w:r>
      <w:proofErr w:type="spellStart"/>
      <w:r w:rsidRPr="0002050E">
        <w:rPr>
          <w:b/>
          <w:bCs/>
        </w:rPr>
        <w:t>IPSec</w:t>
      </w:r>
      <w:proofErr w:type="spellEnd"/>
      <w:r w:rsidRPr="0002050E">
        <w:rPr>
          <w:b/>
          <w:bCs/>
        </w:rPr>
        <w:t xml:space="preserve"> tunnels and F1 connectivity to this donor CU.”</w:t>
      </w:r>
    </w:p>
    <w:p w14:paraId="7B66E866" w14:textId="77777777" w:rsidR="00204289" w:rsidRPr="00CB4F95" w:rsidRDefault="00204289" w:rsidP="0002050E">
      <w:pPr>
        <w:spacing w:after="60"/>
        <w:rPr>
          <w:rFonts w:ascii="Calibri" w:hAnsi="Calibri" w:cs="Calibri"/>
          <w:b/>
          <w:bCs/>
          <w:color w:val="008000"/>
          <w:sz w:val="18"/>
        </w:rPr>
      </w:pPr>
    </w:p>
    <w:p w14:paraId="5F190798" w14:textId="7A7145AF" w:rsidR="00726793" w:rsidRDefault="00726793" w:rsidP="00726793">
      <w:pPr>
        <w:pStyle w:val="Heading2"/>
        <w:rPr>
          <w:highlight w:val="yellow"/>
        </w:rPr>
      </w:pPr>
      <w:r>
        <w:rPr>
          <w:highlight w:val="yellow"/>
        </w:rPr>
        <w:t>Issue 2:</w:t>
      </w:r>
      <w:r w:rsidRPr="002335F9">
        <w:t xml:space="preserve"> </w:t>
      </w:r>
      <w:r w:rsidR="00100643">
        <w:t>Inter-donor coordination, i.e., TMM and IAB-Resource Coordination procedures</w:t>
      </w:r>
    </w:p>
    <w:p w14:paraId="5E4546A8" w14:textId="2D83C5A2" w:rsidR="00726793" w:rsidRDefault="00726793" w:rsidP="00726793">
      <w:pPr>
        <w:spacing w:before="120" w:after="120"/>
      </w:pPr>
      <w:r>
        <w:t xml:space="preserve">The following IAB-specific </w:t>
      </w:r>
      <w:r w:rsidR="002F48E2">
        <w:t>inter-donor coordination</w:t>
      </w:r>
      <w:r>
        <w:t xml:space="preserve"> procedures need to be supported for mobile IAB:</w:t>
      </w:r>
    </w:p>
    <w:p w14:paraId="22B47F36" w14:textId="5DD04E5A" w:rsidR="00726793" w:rsidRDefault="00726793" w:rsidP="00726793">
      <w:pPr>
        <w:pStyle w:val="ListParagraph"/>
        <w:numPr>
          <w:ilvl w:val="0"/>
          <w:numId w:val="41"/>
        </w:numPr>
        <w:spacing w:before="120" w:after="120"/>
        <w:contextualSpacing w:val="0"/>
      </w:pPr>
      <w:r>
        <w:t>Transport Migration Management</w:t>
      </w:r>
      <w:r w:rsidR="004712B9">
        <w:t xml:space="preserve">/Modification </w:t>
      </w:r>
      <w:r>
        <w:t>procedures</w:t>
      </w:r>
    </w:p>
    <w:p w14:paraId="4F2307E0" w14:textId="77777777" w:rsidR="00726793" w:rsidRDefault="00726793" w:rsidP="00726793">
      <w:pPr>
        <w:pStyle w:val="ListParagraph"/>
        <w:numPr>
          <w:ilvl w:val="0"/>
          <w:numId w:val="41"/>
        </w:numPr>
        <w:spacing w:before="120" w:after="120"/>
        <w:contextualSpacing w:val="0"/>
      </w:pPr>
      <w:r>
        <w:t>IAB Resource Coordination procedures</w:t>
      </w:r>
    </w:p>
    <w:p w14:paraId="4265E8F8" w14:textId="0F3F2D5E" w:rsidR="00DD7721" w:rsidRDefault="00726793" w:rsidP="00726793">
      <w:pPr>
        <w:spacing w:before="120" w:after="120"/>
      </w:pPr>
      <w:r>
        <w:t xml:space="preserve">These procedures </w:t>
      </w:r>
      <w:r w:rsidR="006C3613">
        <w:t>were</w:t>
      </w:r>
      <w:r>
        <w:t xml:space="preserve"> introduced </w:t>
      </w:r>
      <w:r w:rsidR="00085DB3">
        <w:t xml:space="preserve">for (stationary) IAB </w:t>
      </w:r>
      <w:r>
        <w:t>in Rel-17 for scenarios where the IAB-MT and IAB-DU use different CUs. The TMM procedures are used to support BH QoS support. The IAB Resource Coordination procedure is used to enable coordination between air-interface resources of access and backhaul links.</w:t>
      </w:r>
      <w:r w:rsidR="00085DB3">
        <w:t xml:space="preserve"> </w:t>
      </w:r>
      <w:r>
        <w:t xml:space="preserve">Since the </w:t>
      </w:r>
      <w:proofErr w:type="spellStart"/>
      <w:r>
        <w:t>mIAB</w:t>
      </w:r>
      <w:proofErr w:type="spellEnd"/>
      <w:r>
        <w:t xml:space="preserve">-MT and </w:t>
      </w:r>
      <w:proofErr w:type="spellStart"/>
      <w:r>
        <w:t>mIAB</w:t>
      </w:r>
      <w:proofErr w:type="spellEnd"/>
      <w:r>
        <w:t xml:space="preserve">-DU can use separate CUs, the functionality of these procedures should also be supported for mobile IAB. </w:t>
      </w:r>
    </w:p>
    <w:p w14:paraId="16C19625" w14:textId="54B41F94" w:rsidR="00726793" w:rsidRDefault="00726793" w:rsidP="00726793">
      <w:pPr>
        <w:spacing w:before="120" w:after="120"/>
      </w:pPr>
      <w:r>
        <w:t>For mobile IAB, the following exacerbating circumstances need to be considered:</w:t>
      </w:r>
    </w:p>
    <w:p w14:paraId="1BA9C8C2" w14:textId="242C49FF" w:rsidR="00726793" w:rsidRPr="0022706C" w:rsidRDefault="00726793" w:rsidP="00726793">
      <w:pPr>
        <w:spacing w:before="120" w:after="120"/>
        <w:ind w:left="360"/>
        <w:rPr>
          <w:b/>
          <w:bCs/>
        </w:rPr>
      </w:pPr>
      <w:r w:rsidRPr="0022706C">
        <w:rPr>
          <w:b/>
          <w:bCs/>
          <w:highlight w:val="yellow"/>
        </w:rPr>
        <w:t xml:space="preserve">Issue </w:t>
      </w:r>
      <w:r>
        <w:rPr>
          <w:b/>
          <w:bCs/>
          <w:highlight w:val="yellow"/>
        </w:rPr>
        <w:t>2a</w:t>
      </w:r>
      <w:r w:rsidRPr="0022706C">
        <w:rPr>
          <w:b/>
          <w:bCs/>
          <w:highlight w:val="yellow"/>
        </w:rPr>
        <w:t>:</w:t>
      </w:r>
      <w:r w:rsidRPr="0022706C">
        <w:rPr>
          <w:b/>
          <w:bCs/>
        </w:rPr>
        <w:t xml:space="preserve"> DU</w:t>
      </w:r>
      <w:r w:rsidR="00C47373">
        <w:rPr>
          <w:b/>
          <w:bCs/>
        </w:rPr>
        <w:t xml:space="preserve"> and MT may use different CUs</w:t>
      </w:r>
      <w:r w:rsidR="005B661E">
        <w:rPr>
          <w:b/>
          <w:bCs/>
        </w:rPr>
        <w:t>,</w:t>
      </w:r>
      <w:r w:rsidR="00C47373">
        <w:rPr>
          <w:b/>
          <w:bCs/>
        </w:rPr>
        <w:t xml:space="preserve"> and these CUs may further be subject to change due to MT- and DU migration</w:t>
      </w:r>
      <w:r w:rsidRPr="0022706C">
        <w:rPr>
          <w:b/>
          <w:bCs/>
        </w:rPr>
        <w:t xml:space="preserve">. The DU’s CU </w:t>
      </w:r>
      <w:r w:rsidR="00C97EB4">
        <w:rPr>
          <w:b/>
          <w:bCs/>
        </w:rPr>
        <w:t xml:space="preserve">may </w:t>
      </w:r>
      <w:r w:rsidRPr="0022706C">
        <w:rPr>
          <w:b/>
          <w:bCs/>
        </w:rPr>
        <w:t xml:space="preserve">therefore </w:t>
      </w:r>
      <w:r w:rsidR="00C97EB4">
        <w:rPr>
          <w:b/>
          <w:bCs/>
        </w:rPr>
        <w:t>have to be</w:t>
      </w:r>
      <w:r w:rsidRPr="0022706C">
        <w:rPr>
          <w:b/>
          <w:bCs/>
        </w:rPr>
        <w:t xml:space="preserve"> </w:t>
      </w:r>
      <w:r w:rsidR="005B661E">
        <w:rPr>
          <w:b/>
          <w:bCs/>
        </w:rPr>
        <w:t>informed</w:t>
      </w:r>
      <w:r w:rsidRPr="0022706C">
        <w:rPr>
          <w:b/>
          <w:bCs/>
        </w:rPr>
        <w:t xml:space="preserve"> about the MT’s </w:t>
      </w:r>
      <w:r w:rsidR="005B661E">
        <w:rPr>
          <w:b/>
          <w:bCs/>
        </w:rPr>
        <w:t xml:space="preserve">current </w:t>
      </w:r>
      <w:r w:rsidRPr="0022706C">
        <w:rPr>
          <w:b/>
          <w:bCs/>
        </w:rPr>
        <w:t xml:space="preserve">CU during </w:t>
      </w:r>
      <w:r w:rsidR="005B661E">
        <w:rPr>
          <w:b/>
          <w:bCs/>
        </w:rPr>
        <w:t xml:space="preserve">DU integration and </w:t>
      </w:r>
      <w:r w:rsidRPr="0022706C">
        <w:rPr>
          <w:b/>
          <w:bCs/>
        </w:rPr>
        <w:t xml:space="preserve">after MT migration. </w:t>
      </w:r>
    </w:p>
    <w:p w14:paraId="5B87809C" w14:textId="08C1D75F" w:rsidR="00726793" w:rsidRPr="0022706C" w:rsidRDefault="00726793" w:rsidP="00726793">
      <w:pPr>
        <w:spacing w:before="120" w:after="120"/>
        <w:ind w:left="360"/>
        <w:rPr>
          <w:b/>
          <w:bCs/>
        </w:rPr>
      </w:pPr>
      <w:r w:rsidRPr="0022706C">
        <w:rPr>
          <w:b/>
          <w:bCs/>
          <w:highlight w:val="yellow"/>
        </w:rPr>
        <w:t>Issue 2</w:t>
      </w:r>
      <w:r>
        <w:rPr>
          <w:b/>
          <w:bCs/>
          <w:highlight w:val="yellow"/>
        </w:rPr>
        <w:t>b</w:t>
      </w:r>
      <w:r w:rsidRPr="0022706C">
        <w:rPr>
          <w:b/>
          <w:bCs/>
          <w:highlight w:val="yellow"/>
        </w:rPr>
        <w:t>:</w:t>
      </w:r>
      <w:r w:rsidRPr="0022706C">
        <w:rPr>
          <w:b/>
          <w:bCs/>
        </w:rPr>
        <w:t xml:space="preserve"> </w:t>
      </w:r>
      <w:proofErr w:type="spellStart"/>
      <w:r w:rsidRPr="0022706C">
        <w:rPr>
          <w:b/>
          <w:bCs/>
        </w:rPr>
        <w:t>Xn</w:t>
      </w:r>
      <w:proofErr w:type="spellEnd"/>
      <w:r w:rsidRPr="0022706C">
        <w:rPr>
          <w:b/>
          <w:bCs/>
        </w:rPr>
        <w:t xml:space="preserve"> may not be supported between DU’s CU and MT’s CU. In this case, the IAB-specific </w:t>
      </w:r>
      <w:proofErr w:type="spellStart"/>
      <w:r w:rsidRPr="0022706C">
        <w:rPr>
          <w:b/>
          <w:bCs/>
        </w:rPr>
        <w:t>Xn</w:t>
      </w:r>
      <w:proofErr w:type="spellEnd"/>
      <w:r w:rsidRPr="0022706C">
        <w:rPr>
          <w:b/>
          <w:bCs/>
        </w:rPr>
        <w:t xml:space="preserve"> </w:t>
      </w:r>
      <w:r w:rsidR="005B661E">
        <w:rPr>
          <w:b/>
          <w:bCs/>
        </w:rPr>
        <w:t>procedures</w:t>
      </w:r>
      <w:r w:rsidRPr="0022706C">
        <w:rPr>
          <w:b/>
          <w:bCs/>
        </w:rPr>
        <w:t xml:space="preserve"> need to be conducted via a different path.</w:t>
      </w:r>
    </w:p>
    <w:p w14:paraId="785DBB1B" w14:textId="3922984E" w:rsidR="00726793" w:rsidRDefault="00726793" w:rsidP="00726793">
      <w:pPr>
        <w:spacing w:before="120" w:after="120"/>
      </w:pPr>
      <w:r>
        <w:t xml:space="preserve">For </w:t>
      </w:r>
      <w:r w:rsidRPr="006C3613">
        <w:rPr>
          <w:highlight w:val="yellow"/>
        </w:rPr>
        <w:t>Issue 2a</w:t>
      </w:r>
      <w:r>
        <w:t xml:space="preserve">, RAN3 </w:t>
      </w:r>
      <w:r w:rsidR="005B661E">
        <w:t xml:space="preserve">agreed that </w:t>
      </w:r>
      <w:proofErr w:type="spellStart"/>
      <w:r>
        <w:t>mIAB</w:t>
      </w:r>
      <w:proofErr w:type="spellEnd"/>
      <w:r>
        <w:t xml:space="preserve">-MT’s </w:t>
      </w:r>
      <w:proofErr w:type="spellStart"/>
      <w:r>
        <w:t>gNB</w:t>
      </w:r>
      <w:proofErr w:type="spellEnd"/>
      <w:r>
        <w:t xml:space="preserve">-ID and the </w:t>
      </w:r>
      <w:proofErr w:type="spellStart"/>
      <w:r>
        <w:t>mIAB</w:t>
      </w:r>
      <w:proofErr w:type="spellEnd"/>
      <w:r>
        <w:t xml:space="preserve">-MT’s </w:t>
      </w:r>
      <w:proofErr w:type="spellStart"/>
      <w:r>
        <w:t>XnAP</w:t>
      </w:r>
      <w:proofErr w:type="spellEnd"/>
      <w:r>
        <w:t xml:space="preserve"> UE ID </w:t>
      </w:r>
      <w:r w:rsidR="005B661E">
        <w:t xml:space="preserve">need to be made available </w:t>
      </w:r>
      <w:r>
        <w:t>to the DU’s CU</w:t>
      </w:r>
      <w:r w:rsidR="005B661E">
        <w:t xml:space="preserve">. To achieve this, RAN3 further discussed </w:t>
      </w:r>
      <w:proofErr w:type="spellStart"/>
      <w:r>
        <w:t>signaling</w:t>
      </w:r>
      <w:proofErr w:type="spellEnd"/>
      <w:r>
        <w:t xml:space="preserve"> solutions </w:t>
      </w:r>
      <w:r w:rsidR="005B661E">
        <w:t xml:space="preserve">for each of </w:t>
      </w:r>
      <w:r>
        <w:t>network integration, MT migration</w:t>
      </w:r>
      <w:r w:rsidR="005B661E">
        <w:t>,</w:t>
      </w:r>
      <w:r>
        <w:t xml:space="preserve"> and DU migration. </w:t>
      </w:r>
      <w:r w:rsidR="005B661E">
        <w:t>The discussions</w:t>
      </w:r>
      <w:r>
        <w:t xml:space="preserve"> considered conducting this </w:t>
      </w:r>
      <w:proofErr w:type="spellStart"/>
      <w:r>
        <w:t>signaling</w:t>
      </w:r>
      <w:proofErr w:type="spellEnd"/>
      <w:r>
        <w:t xml:space="preserve"> either via </w:t>
      </w:r>
      <w:proofErr w:type="spellStart"/>
      <w:r>
        <w:t>Xn</w:t>
      </w:r>
      <w:proofErr w:type="spellEnd"/>
      <w:r>
        <w:t xml:space="preserve"> or via the IAB-node. For DU </w:t>
      </w:r>
      <w:r w:rsidR="005B661E">
        <w:t xml:space="preserve">integration and DU </w:t>
      </w:r>
      <w:r>
        <w:t xml:space="preserve">migration, the discussions were highly controversial with little hope for convergence. </w:t>
      </w:r>
    </w:p>
    <w:p w14:paraId="3EE0043A" w14:textId="22620312" w:rsidR="00726793" w:rsidRDefault="00726793" w:rsidP="00726793">
      <w:pPr>
        <w:spacing w:before="120" w:after="120"/>
      </w:pPr>
      <w:r>
        <w:t xml:space="preserve">For </w:t>
      </w:r>
      <w:r w:rsidRPr="006C3613">
        <w:rPr>
          <w:highlight w:val="yellow"/>
        </w:rPr>
        <w:t>Issue 2b</w:t>
      </w:r>
      <w:r>
        <w:t xml:space="preserve">, RAN3 agreed to support </w:t>
      </w:r>
      <w:proofErr w:type="spellStart"/>
      <w:r>
        <w:t>mIAB</w:t>
      </w:r>
      <w:proofErr w:type="spellEnd"/>
      <w:r>
        <w:t xml:space="preserve">-MT </w:t>
      </w:r>
      <w:r w:rsidR="00DD7721">
        <w:t>handover</w:t>
      </w:r>
      <w:r>
        <w:t xml:space="preserve"> via NG. RAN3 had only limited discussion on how the IAB-specific </w:t>
      </w:r>
      <w:proofErr w:type="spellStart"/>
      <w:r>
        <w:t>Xn</w:t>
      </w:r>
      <w:proofErr w:type="spellEnd"/>
      <w:r>
        <w:t xml:space="preserve"> procedures would be conducted in </w:t>
      </w:r>
      <w:r w:rsidRPr="009701E1">
        <w:rPr>
          <w:i/>
          <w:iCs/>
        </w:rPr>
        <w:t>absence</w:t>
      </w:r>
      <w:r>
        <w:t xml:space="preserve"> of </w:t>
      </w:r>
      <w:proofErr w:type="spellStart"/>
      <w:r>
        <w:t>Xn</w:t>
      </w:r>
      <w:proofErr w:type="spellEnd"/>
      <w:r>
        <w:t>. So far, RAN3 solely agreed:</w:t>
      </w:r>
    </w:p>
    <w:tbl>
      <w:tblPr>
        <w:tblStyle w:val="TableGrid"/>
        <w:tblW w:w="0" w:type="auto"/>
        <w:tblLook w:val="04A0" w:firstRow="1" w:lastRow="0" w:firstColumn="1" w:lastColumn="0" w:noHBand="0" w:noVBand="1"/>
      </w:tblPr>
      <w:tblGrid>
        <w:gridCol w:w="9631"/>
      </w:tblGrid>
      <w:tr w:rsidR="00726793" w14:paraId="62197985" w14:textId="77777777" w:rsidTr="00461AC3">
        <w:tc>
          <w:tcPr>
            <w:tcW w:w="9631" w:type="dxa"/>
          </w:tcPr>
          <w:p w14:paraId="330F0401" w14:textId="77777777" w:rsidR="00726793" w:rsidRPr="00AE289A" w:rsidRDefault="00726793" w:rsidP="003D6FB3">
            <w:pPr>
              <w:widowControl w:val="0"/>
              <w:spacing w:before="120" w:after="120"/>
              <w:ind w:left="144" w:hanging="144"/>
              <w:rPr>
                <w:rFonts w:ascii="Calibri" w:hAnsi="Calibri" w:cs="Calibri"/>
                <w:b/>
                <w:color w:val="008000"/>
                <w:sz w:val="18"/>
                <w:szCs w:val="18"/>
              </w:rPr>
            </w:pPr>
            <w:r w:rsidRPr="00EA369B">
              <w:rPr>
                <w:rFonts w:ascii="Calibri" w:hAnsi="Calibri" w:cs="Calibri"/>
                <w:b/>
                <w:color w:val="008000"/>
                <w:sz w:val="18"/>
                <w:szCs w:val="18"/>
              </w:rPr>
              <w:t xml:space="preserve">For scenarios without </w:t>
            </w:r>
            <w:proofErr w:type="spellStart"/>
            <w:r w:rsidRPr="00EA369B">
              <w:rPr>
                <w:rFonts w:ascii="Calibri" w:hAnsi="Calibri" w:cs="Calibri"/>
                <w:b/>
                <w:color w:val="008000"/>
                <w:sz w:val="18"/>
                <w:szCs w:val="18"/>
              </w:rPr>
              <w:t>Xn</w:t>
            </w:r>
            <w:proofErr w:type="spellEnd"/>
            <w:r w:rsidRPr="00EA369B">
              <w:rPr>
                <w:rFonts w:ascii="Calibri" w:hAnsi="Calibri" w:cs="Calibri"/>
                <w:b/>
                <w:color w:val="008000"/>
                <w:sz w:val="18"/>
                <w:szCs w:val="18"/>
              </w:rPr>
              <w:t xml:space="preserve">, RAN3 to investigate whether IAB-related </w:t>
            </w:r>
            <w:proofErr w:type="spellStart"/>
            <w:r w:rsidRPr="00EA369B">
              <w:rPr>
                <w:rFonts w:ascii="Calibri" w:hAnsi="Calibri" w:cs="Calibri"/>
                <w:b/>
                <w:color w:val="008000"/>
                <w:sz w:val="18"/>
                <w:szCs w:val="18"/>
              </w:rPr>
              <w:t>Xn</w:t>
            </w:r>
            <w:proofErr w:type="spellEnd"/>
            <w:r w:rsidRPr="00EA369B">
              <w:rPr>
                <w:rFonts w:ascii="Calibri" w:hAnsi="Calibri" w:cs="Calibri"/>
                <w:b/>
                <w:color w:val="008000"/>
                <w:sz w:val="18"/>
                <w:szCs w:val="18"/>
              </w:rPr>
              <w:t xml:space="preserve"> </w:t>
            </w:r>
            <w:proofErr w:type="spellStart"/>
            <w:r w:rsidRPr="00EA369B">
              <w:rPr>
                <w:rFonts w:ascii="Calibri" w:hAnsi="Calibri" w:cs="Calibri"/>
                <w:b/>
                <w:color w:val="008000"/>
                <w:sz w:val="18"/>
                <w:szCs w:val="18"/>
              </w:rPr>
              <w:t>signaling</w:t>
            </w:r>
            <w:proofErr w:type="spellEnd"/>
            <w:r w:rsidRPr="00EA369B">
              <w:rPr>
                <w:rFonts w:ascii="Calibri" w:hAnsi="Calibri" w:cs="Calibri"/>
                <w:b/>
                <w:color w:val="008000"/>
                <w:sz w:val="18"/>
                <w:szCs w:val="18"/>
              </w:rPr>
              <w:t xml:space="preserve"> for partial migration and DU migration can be carried via NG using a container to avoid the impact on the AMF.</w:t>
            </w:r>
          </w:p>
        </w:tc>
      </w:tr>
    </w:tbl>
    <w:p w14:paraId="0657D762" w14:textId="7679321B" w:rsidR="00726793" w:rsidRDefault="001961ED" w:rsidP="00726793">
      <w:pPr>
        <w:spacing w:before="120" w:after="120"/>
      </w:pPr>
      <w:r>
        <w:t>T</w:t>
      </w:r>
      <w:r w:rsidR="00726793">
        <w:t>his agreement emphasises that AMF impact should be avoided</w:t>
      </w:r>
      <w:r>
        <w:t>. However,</w:t>
      </w:r>
      <w:r w:rsidR="00726793">
        <w:t xml:space="preserve"> the present NG specification does not support a generic container to transparently pass new information via the AMF</w:t>
      </w:r>
      <w:r>
        <w:t>. It is therefore impossible</w:t>
      </w:r>
      <w:r w:rsidR="005B1A24">
        <w:t xml:space="preserve"> to avoid such AMF impact</w:t>
      </w:r>
      <w:r w:rsidR="00726793">
        <w:t>.</w:t>
      </w:r>
    </w:p>
    <w:p w14:paraId="1D656771" w14:textId="77777777" w:rsidR="006B3A5A" w:rsidRDefault="006B3A5A" w:rsidP="00DD7721">
      <w:pPr>
        <w:spacing w:before="120" w:after="120"/>
      </w:pPr>
      <w:r w:rsidRPr="006B3A5A">
        <w:rPr>
          <w:b/>
          <w:bCs/>
        </w:rPr>
        <w:t>In summary:</w:t>
      </w:r>
      <w:r>
        <w:t xml:space="preserve"> </w:t>
      </w:r>
    </w:p>
    <w:p w14:paraId="472D682D" w14:textId="77777777" w:rsidR="006B3A5A" w:rsidRPr="006B3A5A" w:rsidRDefault="00DD7721" w:rsidP="006B3A5A">
      <w:pPr>
        <w:pStyle w:val="ListParagraph"/>
        <w:numPr>
          <w:ilvl w:val="0"/>
          <w:numId w:val="45"/>
        </w:numPr>
        <w:spacing w:before="120" w:after="120"/>
        <w:contextualSpacing w:val="0"/>
        <w:rPr>
          <w:b/>
          <w:bCs/>
        </w:rPr>
      </w:pPr>
      <w:r w:rsidRPr="006B3A5A">
        <w:rPr>
          <w:b/>
          <w:bCs/>
        </w:rPr>
        <w:t xml:space="preserve">RAN3 discussed Issue 2a </w:t>
      </w:r>
      <w:r w:rsidRPr="006B3A5A">
        <w:rPr>
          <w:b/>
          <w:bCs/>
          <w:i/>
          <w:iCs/>
        </w:rPr>
        <w:t>separately</w:t>
      </w:r>
      <w:r w:rsidRPr="006B3A5A">
        <w:rPr>
          <w:b/>
          <w:bCs/>
        </w:rPr>
        <w:t xml:space="preserve"> for </w:t>
      </w:r>
      <w:proofErr w:type="spellStart"/>
      <w:r w:rsidRPr="006B3A5A">
        <w:rPr>
          <w:b/>
          <w:bCs/>
        </w:rPr>
        <w:t>mIAB</w:t>
      </w:r>
      <w:proofErr w:type="spellEnd"/>
      <w:r w:rsidRPr="006B3A5A">
        <w:rPr>
          <w:b/>
          <w:bCs/>
        </w:rPr>
        <w:t xml:space="preserve">-DU integration, for MT migration, and for DU migration. </w:t>
      </w:r>
    </w:p>
    <w:p w14:paraId="58EC11B9" w14:textId="77777777" w:rsidR="006B3A5A" w:rsidRPr="006B3A5A" w:rsidRDefault="00DD7721" w:rsidP="006B3A5A">
      <w:pPr>
        <w:pStyle w:val="ListParagraph"/>
        <w:numPr>
          <w:ilvl w:val="0"/>
          <w:numId w:val="45"/>
        </w:numPr>
        <w:spacing w:before="120" w:after="120"/>
        <w:contextualSpacing w:val="0"/>
        <w:rPr>
          <w:b/>
          <w:bCs/>
        </w:rPr>
      </w:pPr>
      <w:r w:rsidRPr="006B3A5A">
        <w:rPr>
          <w:b/>
          <w:bCs/>
        </w:rPr>
        <w:t xml:space="preserve">RAN3 discussed Issue 2b </w:t>
      </w:r>
      <w:r w:rsidRPr="006B3A5A">
        <w:rPr>
          <w:b/>
          <w:bCs/>
          <w:i/>
          <w:iCs/>
        </w:rPr>
        <w:t>only for</w:t>
      </w:r>
      <w:r w:rsidRPr="006B3A5A">
        <w:rPr>
          <w:b/>
          <w:bCs/>
        </w:rPr>
        <w:t xml:space="preserve"> MT handover </w:t>
      </w:r>
      <w:r w:rsidRPr="006B3A5A">
        <w:rPr>
          <w:b/>
          <w:bCs/>
          <w:i/>
          <w:iCs/>
        </w:rPr>
        <w:t>but not</w:t>
      </w:r>
      <w:r w:rsidRPr="006B3A5A">
        <w:rPr>
          <w:b/>
          <w:bCs/>
        </w:rPr>
        <w:t xml:space="preserve"> for </w:t>
      </w:r>
      <w:proofErr w:type="spellStart"/>
      <w:r w:rsidRPr="006B3A5A">
        <w:rPr>
          <w:b/>
          <w:bCs/>
        </w:rPr>
        <w:t>mIAB</w:t>
      </w:r>
      <w:proofErr w:type="spellEnd"/>
      <w:r w:rsidRPr="006B3A5A">
        <w:rPr>
          <w:b/>
          <w:bCs/>
        </w:rPr>
        <w:t xml:space="preserve">-node integration and DU migration. </w:t>
      </w:r>
    </w:p>
    <w:p w14:paraId="55F332CB" w14:textId="3C75DBFE" w:rsidR="00DD7721" w:rsidRPr="00DD7721" w:rsidRDefault="00204289" w:rsidP="006B3A5A">
      <w:pPr>
        <w:spacing w:before="120" w:after="120"/>
      </w:pPr>
      <w:r>
        <w:t>It</w:t>
      </w:r>
      <w:r w:rsidR="00DD7721">
        <w:t xml:space="preserve"> would be desirable if RAN3 aimed for a </w:t>
      </w:r>
      <w:r w:rsidR="00DD7721" w:rsidRPr="006B3A5A">
        <w:rPr>
          <w:i/>
          <w:iCs/>
        </w:rPr>
        <w:t>comprehensive</w:t>
      </w:r>
      <w:r w:rsidR="00DD7721">
        <w:t xml:space="preserve"> solution </w:t>
      </w:r>
      <w:r w:rsidR="006B3A5A">
        <w:t xml:space="preserve">that addresses </w:t>
      </w:r>
      <w:r w:rsidR="00DD7721">
        <w:t xml:space="preserve">Issues 2a and 2b </w:t>
      </w:r>
      <w:r w:rsidR="00DD7721" w:rsidRPr="00DD7721">
        <w:t xml:space="preserve">for </w:t>
      </w:r>
      <w:r w:rsidR="006B3A5A">
        <w:t xml:space="preserve">all three procedures, i.e., </w:t>
      </w:r>
      <w:proofErr w:type="spellStart"/>
      <w:r w:rsidR="006B3A5A">
        <w:t>mIAB</w:t>
      </w:r>
      <w:proofErr w:type="spellEnd"/>
      <w:r w:rsidR="006B3A5A">
        <w:t>-node</w:t>
      </w:r>
      <w:r w:rsidR="00DD7721" w:rsidRPr="00DD7721">
        <w:t xml:space="preserve"> integration, MT migration </w:t>
      </w:r>
      <w:r w:rsidR="00DD7721" w:rsidRPr="006B3A5A">
        <w:rPr>
          <w:i/>
          <w:iCs/>
        </w:rPr>
        <w:t>and</w:t>
      </w:r>
      <w:r w:rsidR="00DD7721" w:rsidRPr="00DD7721">
        <w:t xml:space="preserve"> DU migration</w:t>
      </w:r>
      <w:r w:rsidR="006B3A5A">
        <w:t xml:space="preserve">, </w:t>
      </w:r>
      <w:r w:rsidR="00085DB3">
        <w:t xml:space="preserve">and </w:t>
      </w:r>
      <w:r w:rsidR="006B3A5A">
        <w:t>which can be applied in presence</w:t>
      </w:r>
      <w:r w:rsidR="00DD7721" w:rsidRPr="00DD7721">
        <w:t xml:space="preserve"> </w:t>
      </w:r>
      <w:r w:rsidR="00DD7721" w:rsidRPr="006B3A5A">
        <w:rPr>
          <w:i/>
          <w:iCs/>
        </w:rPr>
        <w:t>and</w:t>
      </w:r>
      <w:r w:rsidR="00DD7721" w:rsidRPr="00DD7721">
        <w:t xml:space="preserve"> in absence of </w:t>
      </w:r>
      <w:proofErr w:type="spellStart"/>
      <w:r w:rsidR="00DD7721" w:rsidRPr="00DD7721">
        <w:t>Xn</w:t>
      </w:r>
      <w:proofErr w:type="spellEnd"/>
      <w:r w:rsidR="00DD7721">
        <w:t>,</w:t>
      </w:r>
      <w:r w:rsidR="00DD7721" w:rsidRPr="00DD7721">
        <w:t xml:space="preserve"> </w:t>
      </w:r>
      <w:r w:rsidR="00DD7721" w:rsidRPr="006B3A5A">
        <w:t>and</w:t>
      </w:r>
      <w:r w:rsidR="00DD7721" w:rsidRPr="00DD7721">
        <w:t xml:space="preserve"> </w:t>
      </w:r>
      <w:r w:rsidR="006B3A5A">
        <w:t xml:space="preserve">which has </w:t>
      </w:r>
      <w:r w:rsidR="006B3A5A" w:rsidRPr="006B3A5A">
        <w:rPr>
          <w:i/>
          <w:iCs/>
        </w:rPr>
        <w:t>no</w:t>
      </w:r>
      <w:r w:rsidR="00DD7721">
        <w:t xml:space="preserve"> </w:t>
      </w:r>
      <w:r w:rsidR="00DD7721" w:rsidRPr="00DD7721">
        <w:t>AMF impact.</w:t>
      </w:r>
    </w:p>
    <w:p w14:paraId="6DF07DD2" w14:textId="67BA9C7B" w:rsidR="00DD7721" w:rsidRDefault="00DD7721" w:rsidP="00DD7721">
      <w:pPr>
        <w:spacing w:before="120" w:after="120"/>
        <w:rPr>
          <w:b/>
          <w:bCs/>
        </w:rPr>
      </w:pPr>
      <w:r w:rsidRPr="002F50B9">
        <w:rPr>
          <w:b/>
          <w:bCs/>
        </w:rPr>
        <w:t>Observation 2</w:t>
      </w:r>
      <w:r>
        <w:rPr>
          <w:b/>
          <w:bCs/>
        </w:rPr>
        <w:t>a</w:t>
      </w:r>
      <w:r w:rsidRPr="002F50B9">
        <w:rPr>
          <w:b/>
          <w:bCs/>
        </w:rPr>
        <w:t xml:space="preserve">: It would be desirable </w:t>
      </w:r>
      <w:r w:rsidR="006B3A5A">
        <w:rPr>
          <w:b/>
          <w:bCs/>
        </w:rPr>
        <w:t>to have</w:t>
      </w:r>
      <w:r w:rsidRPr="002F50B9">
        <w:rPr>
          <w:b/>
          <w:bCs/>
        </w:rPr>
        <w:t xml:space="preserve"> a </w:t>
      </w:r>
      <w:r w:rsidRPr="00DD7721">
        <w:rPr>
          <w:b/>
          <w:bCs/>
          <w:u w:val="single"/>
        </w:rPr>
        <w:t>comprehensive</w:t>
      </w:r>
      <w:r w:rsidRPr="002F50B9">
        <w:rPr>
          <w:b/>
          <w:bCs/>
        </w:rPr>
        <w:t xml:space="preserve"> </w:t>
      </w:r>
      <w:r>
        <w:rPr>
          <w:b/>
          <w:bCs/>
        </w:rPr>
        <w:t>solution</w:t>
      </w:r>
      <w:r w:rsidRPr="002F50B9">
        <w:rPr>
          <w:b/>
          <w:bCs/>
        </w:rPr>
        <w:t xml:space="preserve"> </w:t>
      </w:r>
      <w:r>
        <w:rPr>
          <w:b/>
          <w:bCs/>
        </w:rPr>
        <w:t>to</w:t>
      </w:r>
      <w:r w:rsidRPr="002F50B9">
        <w:rPr>
          <w:b/>
          <w:bCs/>
        </w:rPr>
        <w:t xml:space="preserve"> </w:t>
      </w:r>
      <w:proofErr w:type="spellStart"/>
      <w:r w:rsidR="00DA2A99">
        <w:rPr>
          <w:b/>
          <w:bCs/>
        </w:rPr>
        <w:t>m</w:t>
      </w:r>
      <w:r w:rsidRPr="002F50B9">
        <w:rPr>
          <w:b/>
          <w:bCs/>
        </w:rPr>
        <w:t>IAB</w:t>
      </w:r>
      <w:proofErr w:type="spellEnd"/>
      <w:r w:rsidRPr="002F50B9">
        <w:rPr>
          <w:b/>
          <w:bCs/>
        </w:rPr>
        <w:t xml:space="preserve">-specific </w:t>
      </w:r>
      <w:r w:rsidR="00CD3BD9">
        <w:rPr>
          <w:b/>
          <w:bCs/>
        </w:rPr>
        <w:t>inter-donor coordination</w:t>
      </w:r>
      <w:r w:rsidRPr="002F50B9">
        <w:rPr>
          <w:b/>
          <w:bCs/>
        </w:rPr>
        <w:t xml:space="preserve"> for </w:t>
      </w:r>
      <w:r w:rsidR="00204289">
        <w:rPr>
          <w:b/>
          <w:bCs/>
        </w:rPr>
        <w:t xml:space="preserve">(1) </w:t>
      </w:r>
      <w:r w:rsidRPr="002F50B9">
        <w:rPr>
          <w:b/>
          <w:bCs/>
        </w:rPr>
        <w:t xml:space="preserve">network integration, </w:t>
      </w:r>
      <w:r w:rsidR="00204289">
        <w:rPr>
          <w:b/>
          <w:bCs/>
        </w:rPr>
        <w:t xml:space="preserve">(2) </w:t>
      </w:r>
      <w:r w:rsidRPr="002F50B9">
        <w:rPr>
          <w:b/>
          <w:bCs/>
        </w:rPr>
        <w:t xml:space="preserve">MT migration </w:t>
      </w:r>
      <w:r w:rsidRPr="00085DB3">
        <w:rPr>
          <w:b/>
          <w:bCs/>
        </w:rPr>
        <w:t>and</w:t>
      </w:r>
      <w:r w:rsidRPr="002F50B9">
        <w:rPr>
          <w:b/>
          <w:bCs/>
        </w:rPr>
        <w:t xml:space="preserve"> </w:t>
      </w:r>
      <w:r w:rsidR="00204289">
        <w:rPr>
          <w:b/>
          <w:bCs/>
        </w:rPr>
        <w:t xml:space="preserve">(3) </w:t>
      </w:r>
      <w:r w:rsidRPr="002F50B9">
        <w:rPr>
          <w:b/>
          <w:bCs/>
        </w:rPr>
        <w:t>DU migration</w:t>
      </w:r>
      <w:r w:rsidR="006B3A5A">
        <w:rPr>
          <w:b/>
          <w:bCs/>
        </w:rPr>
        <w:t>, that can be used</w:t>
      </w:r>
      <w:r w:rsidRPr="002F50B9">
        <w:rPr>
          <w:b/>
          <w:bCs/>
        </w:rPr>
        <w:t xml:space="preserve"> in presence </w:t>
      </w:r>
      <w:r w:rsidRPr="00204289">
        <w:rPr>
          <w:b/>
          <w:bCs/>
          <w:u w:val="single"/>
        </w:rPr>
        <w:t>and</w:t>
      </w:r>
      <w:r>
        <w:rPr>
          <w:b/>
          <w:bCs/>
        </w:rPr>
        <w:t xml:space="preserve"> in</w:t>
      </w:r>
      <w:r w:rsidRPr="002F50B9">
        <w:rPr>
          <w:b/>
          <w:bCs/>
        </w:rPr>
        <w:t xml:space="preserve"> absence of </w:t>
      </w:r>
      <w:proofErr w:type="spellStart"/>
      <w:r w:rsidRPr="002F50B9">
        <w:rPr>
          <w:b/>
          <w:bCs/>
        </w:rPr>
        <w:t>Xn</w:t>
      </w:r>
      <w:proofErr w:type="spellEnd"/>
      <w:r>
        <w:rPr>
          <w:b/>
          <w:bCs/>
        </w:rPr>
        <w:t>,</w:t>
      </w:r>
      <w:r w:rsidRPr="002F50B9">
        <w:rPr>
          <w:b/>
          <w:bCs/>
        </w:rPr>
        <w:t xml:space="preserve"> </w:t>
      </w:r>
      <w:r w:rsidRPr="00085DB3">
        <w:rPr>
          <w:b/>
          <w:bCs/>
        </w:rPr>
        <w:t>and</w:t>
      </w:r>
      <w:r>
        <w:rPr>
          <w:b/>
          <w:bCs/>
        </w:rPr>
        <w:t xml:space="preserve"> </w:t>
      </w:r>
      <w:r w:rsidR="006B3A5A">
        <w:rPr>
          <w:b/>
          <w:bCs/>
        </w:rPr>
        <w:t xml:space="preserve">that has </w:t>
      </w:r>
      <w:r w:rsidR="006B3A5A" w:rsidRPr="00204289">
        <w:rPr>
          <w:b/>
          <w:bCs/>
          <w:u w:val="single"/>
        </w:rPr>
        <w:t>no</w:t>
      </w:r>
      <w:r>
        <w:rPr>
          <w:b/>
          <w:bCs/>
        </w:rPr>
        <w:t xml:space="preserve"> AMF impact</w:t>
      </w:r>
      <w:r w:rsidRPr="002F50B9">
        <w:rPr>
          <w:b/>
          <w:bCs/>
        </w:rPr>
        <w:t>.</w:t>
      </w:r>
    </w:p>
    <w:p w14:paraId="4EC5562E" w14:textId="4D4C192C" w:rsidR="00726793" w:rsidRDefault="003C407B" w:rsidP="00726793">
      <w:pPr>
        <w:spacing w:before="120" w:after="120"/>
      </w:pPr>
      <w:r w:rsidRPr="003C407B">
        <w:rPr>
          <w:noProof/>
        </w:rPr>
        <w:lastRenderedPageBreak/>
        <w:drawing>
          <wp:inline distT="0" distB="0" distL="0" distR="0" wp14:anchorId="5567C456" wp14:editId="17126BA9">
            <wp:extent cx="6122035" cy="432625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4326255"/>
                    </a:xfrm>
                    <a:prstGeom prst="rect">
                      <a:avLst/>
                    </a:prstGeom>
                    <a:noFill/>
                    <a:ln>
                      <a:noFill/>
                    </a:ln>
                  </pic:spPr>
                </pic:pic>
              </a:graphicData>
            </a:graphic>
          </wp:inline>
        </w:drawing>
      </w:r>
    </w:p>
    <w:p w14:paraId="0388076B" w14:textId="77777777" w:rsidR="00726793" w:rsidRPr="00BE2624" w:rsidRDefault="00726793" w:rsidP="00726793">
      <w:pPr>
        <w:spacing w:before="120" w:after="120"/>
        <w:jc w:val="center"/>
        <w:rPr>
          <w:rFonts w:ascii="Arial" w:hAnsi="Arial" w:cs="Arial"/>
          <w:b/>
          <w:bCs/>
        </w:rPr>
      </w:pPr>
      <w:r w:rsidRPr="00BE2624">
        <w:rPr>
          <w:rFonts w:ascii="Arial" w:hAnsi="Arial" w:cs="Arial"/>
          <w:b/>
          <w:bCs/>
        </w:rPr>
        <w:t xml:space="preserve">Figure 1: Comprehensive solution for </w:t>
      </w:r>
      <w:proofErr w:type="spellStart"/>
      <w:r w:rsidRPr="00BE2624">
        <w:rPr>
          <w:rFonts w:ascii="Arial" w:hAnsi="Arial" w:cs="Arial"/>
          <w:b/>
          <w:bCs/>
        </w:rPr>
        <w:t>mIAB</w:t>
      </w:r>
      <w:proofErr w:type="spellEnd"/>
      <w:r w:rsidRPr="00BE2624">
        <w:rPr>
          <w:rFonts w:ascii="Arial" w:hAnsi="Arial" w:cs="Arial"/>
          <w:b/>
          <w:bCs/>
        </w:rPr>
        <w:t>-specific inter-CU coordination with</w:t>
      </w:r>
      <w:r>
        <w:rPr>
          <w:rFonts w:ascii="Arial" w:hAnsi="Arial" w:cs="Arial"/>
          <w:b/>
          <w:bCs/>
        </w:rPr>
        <w:t xml:space="preserve"> and wi</w:t>
      </w:r>
      <w:r w:rsidRPr="00BE2624">
        <w:rPr>
          <w:rFonts w:ascii="Arial" w:hAnsi="Arial" w:cs="Arial"/>
          <w:b/>
          <w:bCs/>
        </w:rPr>
        <w:t xml:space="preserve">thout </w:t>
      </w:r>
      <w:proofErr w:type="spellStart"/>
      <w:r w:rsidRPr="00BE2624">
        <w:rPr>
          <w:rFonts w:ascii="Arial" w:hAnsi="Arial" w:cs="Arial"/>
          <w:b/>
          <w:bCs/>
        </w:rPr>
        <w:t>Xn</w:t>
      </w:r>
      <w:proofErr w:type="spellEnd"/>
      <w:r w:rsidRPr="00BE2624">
        <w:rPr>
          <w:rFonts w:ascii="Arial" w:hAnsi="Arial" w:cs="Arial"/>
          <w:b/>
          <w:bCs/>
        </w:rPr>
        <w:t xml:space="preserve"> </w:t>
      </w:r>
    </w:p>
    <w:p w14:paraId="14914C25" w14:textId="20BCFE5B" w:rsidR="00726793" w:rsidRDefault="00726793" w:rsidP="00726793">
      <w:pPr>
        <w:spacing w:before="120" w:after="120"/>
      </w:pPr>
      <w:r>
        <w:t xml:space="preserve">Figure 1 shows a solution that comprehensively addresses the above </w:t>
      </w:r>
      <w:r w:rsidR="004906C5" w:rsidRPr="009701E1">
        <w:rPr>
          <w:highlight w:val="yellow"/>
        </w:rPr>
        <w:t>I</w:t>
      </w:r>
      <w:r w:rsidR="00577C93" w:rsidRPr="009701E1">
        <w:rPr>
          <w:highlight w:val="yellow"/>
        </w:rPr>
        <w:t>ssue 2a</w:t>
      </w:r>
      <w:r w:rsidR="00577C93" w:rsidRPr="009701E1">
        <w:t xml:space="preserve"> and </w:t>
      </w:r>
      <w:r w:rsidR="004906C5" w:rsidRPr="009701E1">
        <w:rPr>
          <w:highlight w:val="yellow"/>
        </w:rPr>
        <w:t>I</w:t>
      </w:r>
      <w:r w:rsidR="00577C93" w:rsidRPr="009701E1">
        <w:rPr>
          <w:highlight w:val="yellow"/>
        </w:rPr>
        <w:t>ssue 2b</w:t>
      </w:r>
      <w:r w:rsidRPr="009701E1">
        <w:t xml:space="preserve"> for MT</w:t>
      </w:r>
      <w:r>
        <w:t xml:space="preserve"> migration, </w:t>
      </w:r>
      <w:proofErr w:type="spellStart"/>
      <w:r>
        <w:t>mIAB</w:t>
      </w:r>
      <w:proofErr w:type="spellEnd"/>
      <w:r>
        <w:t xml:space="preserve">-DU network integration and DU migration. This solution </w:t>
      </w:r>
      <w:r w:rsidR="000A6935">
        <w:t>includes the following aspects</w:t>
      </w:r>
      <w:r>
        <w:t>:</w:t>
      </w:r>
    </w:p>
    <w:p w14:paraId="049519BE" w14:textId="39C50257" w:rsidR="00AE60B2" w:rsidRDefault="00672D31" w:rsidP="00992D8E">
      <w:pPr>
        <w:pStyle w:val="ListParagraph"/>
        <w:numPr>
          <w:ilvl w:val="0"/>
          <w:numId w:val="41"/>
        </w:numPr>
        <w:spacing w:before="120" w:after="120"/>
        <w:ind w:left="504"/>
        <w:contextualSpacing w:val="0"/>
      </w:pPr>
      <w:r>
        <w:t>T</w:t>
      </w:r>
      <w:r w:rsidR="000A6935">
        <w:t>he</w:t>
      </w:r>
      <w:r w:rsidR="00726793">
        <w:t xml:space="preserve"> TMM- and IAB Resource Coordination procedures can be transparently </w:t>
      </w:r>
      <w:r w:rsidR="000A6935">
        <w:t xml:space="preserve">conducted </w:t>
      </w:r>
      <w:r w:rsidR="00726793">
        <w:t xml:space="preserve">via the </w:t>
      </w:r>
      <w:proofErr w:type="spellStart"/>
      <w:r w:rsidR="00726793">
        <w:t>mIAB</w:t>
      </w:r>
      <w:proofErr w:type="spellEnd"/>
      <w:r w:rsidR="00726793">
        <w:t>-node</w:t>
      </w:r>
      <w:r w:rsidR="00AC1F6E">
        <w:t xml:space="preserve"> (Steps </w:t>
      </w:r>
      <w:r w:rsidR="004906C5">
        <w:t>3/4</w:t>
      </w:r>
      <w:r w:rsidR="00AC1F6E">
        <w:t xml:space="preserve"> and </w:t>
      </w:r>
      <w:r w:rsidR="004906C5">
        <w:t>6/7</w:t>
      </w:r>
      <w:r w:rsidR="00AC1F6E">
        <w:t xml:space="preserve"> in Fig. 1)</w:t>
      </w:r>
      <w:r w:rsidR="00726793">
        <w:t xml:space="preserve">. </w:t>
      </w:r>
      <w:r w:rsidR="00AC1F6E">
        <w:t>In this manner,</w:t>
      </w:r>
      <w:r w:rsidR="00726793">
        <w:t xml:space="preserve"> these procedures </w:t>
      </w:r>
      <w:r w:rsidR="00AC1F6E">
        <w:t xml:space="preserve">can be conducted </w:t>
      </w:r>
      <w:r w:rsidR="00726793">
        <w:t xml:space="preserve">in absence of </w:t>
      </w:r>
      <w:proofErr w:type="spellStart"/>
      <w:r w:rsidR="00726793">
        <w:t>Xn</w:t>
      </w:r>
      <w:proofErr w:type="spellEnd"/>
      <w:r w:rsidR="00726793">
        <w:t xml:space="preserve">. </w:t>
      </w:r>
      <w:r w:rsidR="00AC1F6E">
        <w:t>Also, t</w:t>
      </w:r>
      <w:r w:rsidR="00726793">
        <w:t xml:space="preserve">he </w:t>
      </w:r>
      <w:r w:rsidR="0039404A">
        <w:t>passing of this information</w:t>
      </w:r>
      <w:r w:rsidR="00726793">
        <w:t xml:space="preserve"> via the </w:t>
      </w:r>
      <w:proofErr w:type="spellStart"/>
      <w:r w:rsidR="00726793">
        <w:t>mIAB</w:t>
      </w:r>
      <w:proofErr w:type="spellEnd"/>
      <w:r w:rsidR="00726793">
        <w:t>-node</w:t>
      </w:r>
      <w:r w:rsidR="000A6935">
        <w:t xml:space="preserve"> does not introduce any</w:t>
      </w:r>
      <w:r w:rsidR="00726793">
        <w:t xml:space="preserve"> changes to NG and AMF</w:t>
      </w:r>
      <w:r w:rsidR="000A6935">
        <w:t>.</w:t>
      </w:r>
      <w:r w:rsidR="00726793">
        <w:t xml:space="preserve"> </w:t>
      </w:r>
    </w:p>
    <w:p w14:paraId="2522EABB" w14:textId="5A14A696" w:rsidR="00726793" w:rsidRDefault="000A6935" w:rsidP="00992D8E">
      <w:pPr>
        <w:pStyle w:val="ListParagraph"/>
        <w:numPr>
          <w:ilvl w:val="1"/>
          <w:numId w:val="41"/>
        </w:numPr>
        <w:spacing w:before="120" w:after="120"/>
        <w:ind w:left="864"/>
        <w:contextualSpacing w:val="0"/>
      </w:pPr>
      <w:r>
        <w:t xml:space="preserve">When </w:t>
      </w:r>
      <w:r w:rsidR="00AE60B2">
        <w:t>passing</w:t>
      </w:r>
      <w:r>
        <w:t xml:space="preserve"> </w:t>
      </w:r>
      <w:r w:rsidR="00AE60B2">
        <w:t>an TMM- or IAB-Resource-Coordination message container to</w:t>
      </w:r>
      <w:r>
        <w:t xml:space="preserve"> the MT’s CU, the MT includes the </w:t>
      </w:r>
      <w:proofErr w:type="spellStart"/>
      <w:r>
        <w:t>gNB</w:t>
      </w:r>
      <w:proofErr w:type="spellEnd"/>
      <w:r>
        <w:t xml:space="preserve">-ID of the </w:t>
      </w:r>
      <w:r w:rsidR="00AE60B2">
        <w:t xml:space="preserve">originating </w:t>
      </w:r>
      <w:r>
        <w:t>DU’s CU</w:t>
      </w:r>
      <w:r w:rsidR="00AE60B2">
        <w:t xml:space="preserve"> (Step </w:t>
      </w:r>
      <w:r w:rsidR="0039404A">
        <w:t>4</w:t>
      </w:r>
      <w:r w:rsidR="00AE60B2">
        <w:t xml:space="preserve"> in Fig. 1)</w:t>
      </w:r>
      <w:r>
        <w:t xml:space="preserve">. This allows the MT’s CU to send </w:t>
      </w:r>
      <w:r w:rsidR="00AE60B2">
        <w:t xml:space="preserve">follow up messages </w:t>
      </w:r>
      <w:r>
        <w:t xml:space="preserve">via the direct path in case </w:t>
      </w:r>
      <w:proofErr w:type="spellStart"/>
      <w:r>
        <w:t>Xn</w:t>
      </w:r>
      <w:proofErr w:type="spellEnd"/>
      <w:r>
        <w:t xml:space="preserve"> is supported.</w:t>
      </w:r>
    </w:p>
    <w:p w14:paraId="5EC24BB2" w14:textId="30086F81" w:rsidR="00AE60B2" w:rsidRDefault="00AE60B2" w:rsidP="00992D8E">
      <w:pPr>
        <w:pStyle w:val="ListParagraph"/>
        <w:numPr>
          <w:ilvl w:val="1"/>
          <w:numId w:val="41"/>
        </w:numPr>
        <w:spacing w:before="120" w:after="120"/>
        <w:ind w:left="864"/>
        <w:contextualSpacing w:val="0"/>
      </w:pPr>
      <w:r>
        <w:t>When passing an TMM-</w:t>
      </w:r>
      <w:r w:rsidR="00AC1F6E">
        <w:t xml:space="preserve"> </w:t>
      </w:r>
      <w:r>
        <w:t xml:space="preserve">or IAB-Resource-Coordination message container to the MT, the MT’s CU includes the </w:t>
      </w:r>
      <w:proofErr w:type="spellStart"/>
      <w:r>
        <w:t>gNB</w:t>
      </w:r>
      <w:proofErr w:type="spellEnd"/>
      <w:r>
        <w:t xml:space="preserve">-ID of the </w:t>
      </w:r>
      <w:r w:rsidR="00476412">
        <w:t>destination</w:t>
      </w:r>
      <w:r>
        <w:t xml:space="preserve"> DU’s CU (Step</w:t>
      </w:r>
      <w:r w:rsidR="0039404A">
        <w:t xml:space="preserve"> 6 </w:t>
      </w:r>
      <w:r>
        <w:t xml:space="preserve">in Fig. 1). This allows the IAB-node to forward the container to the designated CU in case the </w:t>
      </w:r>
      <w:proofErr w:type="spellStart"/>
      <w:r>
        <w:t>mIAB</w:t>
      </w:r>
      <w:proofErr w:type="spellEnd"/>
      <w:r>
        <w:t xml:space="preserve">-node supports </w:t>
      </w:r>
      <w:r w:rsidR="00476412">
        <w:t>two</w:t>
      </w:r>
      <w:r>
        <w:t xml:space="preserve"> logical DUs.</w:t>
      </w:r>
    </w:p>
    <w:p w14:paraId="4793BFC1" w14:textId="0AE53A3C" w:rsidR="00726793" w:rsidRDefault="00726793" w:rsidP="00992D8E">
      <w:pPr>
        <w:pStyle w:val="ListParagraph"/>
        <w:numPr>
          <w:ilvl w:val="0"/>
          <w:numId w:val="41"/>
        </w:numPr>
        <w:spacing w:before="120" w:after="120"/>
        <w:ind w:left="504"/>
        <w:contextualSpacing w:val="0"/>
      </w:pPr>
      <w:r>
        <w:t xml:space="preserve">In case the DU’s CU does not know the MT’s CU, e.g., after MT migration or during </w:t>
      </w:r>
      <w:r w:rsidR="00A32BAB">
        <w:t xml:space="preserve">(target-) </w:t>
      </w:r>
      <w:r w:rsidR="00892AE5">
        <w:t xml:space="preserve">logical </w:t>
      </w:r>
      <w:r>
        <w:t xml:space="preserve">DU integration, it transparently passes the </w:t>
      </w:r>
      <w:r w:rsidRPr="00726793">
        <w:rPr>
          <w:i/>
          <w:iCs/>
          <w:u w:val="single"/>
        </w:rPr>
        <w:t>initial</w:t>
      </w:r>
      <w:r>
        <w:t xml:space="preserve"> TM Management Request or the </w:t>
      </w:r>
      <w:r w:rsidRPr="00726793">
        <w:rPr>
          <w:i/>
          <w:iCs/>
          <w:u w:val="single"/>
        </w:rPr>
        <w:t>initial</w:t>
      </w:r>
      <w:r>
        <w:t xml:space="preserve"> IAB Resource Coordination Request </w:t>
      </w:r>
      <w:r w:rsidR="000A6935">
        <w:t xml:space="preserve">(whatever comes first) </w:t>
      </w:r>
      <w:r>
        <w:t>via the IAB-node</w:t>
      </w:r>
      <w:r w:rsidR="00F05474">
        <w:t xml:space="preserve"> (Step </w:t>
      </w:r>
      <w:r w:rsidR="00A32BAB">
        <w:t>3</w:t>
      </w:r>
      <w:r w:rsidR="00F05474">
        <w:t xml:space="preserve"> in Fig 1)</w:t>
      </w:r>
      <w:r>
        <w:t>. Th</w:t>
      </w:r>
      <w:r w:rsidR="000A6935">
        <w:t xml:space="preserve">e passing of the message via the </w:t>
      </w:r>
      <w:proofErr w:type="spellStart"/>
      <w:r w:rsidR="000A6935">
        <w:t>mIAB</w:t>
      </w:r>
      <w:proofErr w:type="spellEnd"/>
      <w:r w:rsidR="000A6935">
        <w:t xml:space="preserve">-node </w:t>
      </w:r>
      <w:r>
        <w:t xml:space="preserve">guarantees that </w:t>
      </w:r>
      <w:r w:rsidR="000A6935">
        <w:t>it</w:t>
      </w:r>
      <w:r>
        <w:t xml:space="preserve"> reaches the MT’s CU. </w:t>
      </w:r>
    </w:p>
    <w:p w14:paraId="3033B34C" w14:textId="77777777" w:rsidR="00892AE5" w:rsidRDefault="00892AE5" w:rsidP="00A32BAB">
      <w:pPr>
        <w:pStyle w:val="ListParagraph"/>
        <w:numPr>
          <w:ilvl w:val="1"/>
          <w:numId w:val="41"/>
        </w:numPr>
        <w:spacing w:before="120" w:after="120"/>
        <w:ind w:left="864"/>
        <w:contextualSpacing w:val="0"/>
      </w:pPr>
      <w:r>
        <w:t xml:space="preserve">This applies to the following conditions: </w:t>
      </w:r>
    </w:p>
    <w:p w14:paraId="7E8C9AFD" w14:textId="6341BB3A" w:rsidR="00892AE5" w:rsidRDefault="00892AE5" w:rsidP="00672D31">
      <w:pPr>
        <w:pStyle w:val="ListParagraph"/>
        <w:numPr>
          <w:ilvl w:val="2"/>
          <w:numId w:val="41"/>
        </w:numPr>
        <w:spacing w:before="120" w:after="120"/>
        <w:ind w:left="1368"/>
        <w:contextualSpacing w:val="0"/>
      </w:pPr>
      <w:r>
        <w:t xml:space="preserve">The MT migrates </w:t>
      </w:r>
      <w:r w:rsidR="00672D31">
        <w:t xml:space="preserve">from a source CU </w:t>
      </w:r>
      <w:r>
        <w:t xml:space="preserve">to a </w:t>
      </w:r>
      <w:r w:rsidR="00672D31">
        <w:t xml:space="preserve">target </w:t>
      </w:r>
      <w:r>
        <w:t>CU</w:t>
      </w:r>
      <w:r w:rsidR="002355CD">
        <w:t>,</w:t>
      </w:r>
      <w:r>
        <w:t xml:space="preserve"> </w:t>
      </w:r>
      <w:r w:rsidR="00672D31">
        <w:t>which both are</w:t>
      </w:r>
      <w:r>
        <w:t xml:space="preserve"> different from the logical DU’s CU.</w:t>
      </w:r>
    </w:p>
    <w:p w14:paraId="2B40C34F" w14:textId="76E5B14D" w:rsidR="00892AE5" w:rsidRDefault="00892AE5" w:rsidP="00672D31">
      <w:pPr>
        <w:pStyle w:val="ListParagraph"/>
        <w:numPr>
          <w:ilvl w:val="2"/>
          <w:numId w:val="41"/>
        </w:numPr>
        <w:spacing w:before="120" w:after="120"/>
        <w:ind w:left="1368"/>
        <w:contextualSpacing w:val="0"/>
      </w:pPr>
      <w:r>
        <w:t xml:space="preserve">A new logical DU is integrated to the network, whose CU is different from the MT’s CU. </w:t>
      </w:r>
    </w:p>
    <w:p w14:paraId="0A303552" w14:textId="386DB694" w:rsidR="00726793" w:rsidRDefault="00892AE5" w:rsidP="00A32BAB">
      <w:pPr>
        <w:pStyle w:val="ListParagraph"/>
        <w:numPr>
          <w:ilvl w:val="1"/>
          <w:numId w:val="41"/>
        </w:numPr>
        <w:spacing w:before="120" w:after="120"/>
        <w:ind w:left="864"/>
        <w:contextualSpacing w:val="0"/>
      </w:pPr>
      <w:r>
        <w:t xml:space="preserve">The </w:t>
      </w:r>
      <w:proofErr w:type="spellStart"/>
      <w:r>
        <w:t>m</w:t>
      </w:r>
      <w:r w:rsidR="00A32BAB" w:rsidRPr="00A32BAB">
        <w:t>IAB</w:t>
      </w:r>
      <w:proofErr w:type="spellEnd"/>
      <w:r w:rsidR="00A32BAB" w:rsidRPr="00A32BAB">
        <w:t xml:space="preserve">-node </w:t>
      </w:r>
      <w:r>
        <w:t xml:space="preserve">itself can </w:t>
      </w:r>
      <w:r w:rsidR="00A32BAB" w:rsidRPr="00A32BAB">
        <w:t xml:space="preserve">determine </w:t>
      </w:r>
      <w:r>
        <w:t>whether one of these conditions applies</w:t>
      </w:r>
      <w:r w:rsidR="00A32BAB" w:rsidRPr="00A32BAB">
        <w:t xml:space="preserve">, </w:t>
      </w:r>
      <w:r>
        <w:t xml:space="preserve">and in this case, </w:t>
      </w:r>
      <w:r w:rsidR="00E44B69">
        <w:t>it</w:t>
      </w:r>
      <w:r w:rsidR="00A32BAB" w:rsidRPr="00A32BAB">
        <w:t xml:space="preserve"> sends a trigger indicator to this logical DU’s CU so that the DU’s CU can pass </w:t>
      </w:r>
      <w:proofErr w:type="spellStart"/>
      <w:r>
        <w:t>m</w:t>
      </w:r>
      <w:r w:rsidR="00A32BAB" w:rsidRPr="00A32BAB">
        <w:t>IAB</w:t>
      </w:r>
      <w:proofErr w:type="spellEnd"/>
      <w:r w:rsidR="00A32BAB" w:rsidRPr="00A32BAB">
        <w:t xml:space="preserve">-specific </w:t>
      </w:r>
      <w:r>
        <w:t>inter-donor</w:t>
      </w:r>
      <w:r w:rsidR="00A32BAB" w:rsidRPr="00A32BAB">
        <w:t xml:space="preserve"> </w:t>
      </w:r>
      <w:r>
        <w:t xml:space="preserve">coordination </w:t>
      </w:r>
      <w:r w:rsidR="00A32BAB" w:rsidRPr="00A32BAB">
        <w:t xml:space="preserve">messages via the </w:t>
      </w:r>
      <w:proofErr w:type="spellStart"/>
      <w:r w:rsidR="00A32BAB" w:rsidRPr="00A32BAB">
        <w:t>mIAB</w:t>
      </w:r>
      <w:proofErr w:type="spellEnd"/>
      <w:r w:rsidR="00A32BAB" w:rsidRPr="00A32BAB">
        <w:t>-node</w:t>
      </w:r>
      <w:r w:rsidR="00E44B69">
        <w:t xml:space="preserve"> (Steps 2a and 2b)</w:t>
      </w:r>
      <w:r w:rsidR="000A6935" w:rsidRPr="00A32BAB">
        <w:t>.</w:t>
      </w:r>
    </w:p>
    <w:p w14:paraId="523B8E47" w14:textId="2F0274C9" w:rsidR="006B3A5A" w:rsidRPr="006B3A5A" w:rsidRDefault="006B3A5A" w:rsidP="006B3A5A">
      <w:pPr>
        <w:spacing w:before="120" w:after="120"/>
      </w:pPr>
      <w:r w:rsidRPr="006B3A5A">
        <w:t xml:space="preserve">Note that steps 3, 4, 5, 6 and 7 </w:t>
      </w:r>
      <w:r w:rsidR="002355CD">
        <w:t xml:space="preserve">above </w:t>
      </w:r>
      <w:r w:rsidRPr="006B3A5A">
        <w:t>are the same for all procedures</w:t>
      </w:r>
      <w:r w:rsidR="002355CD">
        <w:t>.</w:t>
      </w:r>
    </w:p>
    <w:p w14:paraId="2D084A0C" w14:textId="67F705B1" w:rsidR="006B3A5A" w:rsidRPr="00DA2A99" w:rsidRDefault="006B3A5A" w:rsidP="006B3A5A">
      <w:pPr>
        <w:spacing w:before="120" w:after="120"/>
      </w:pPr>
      <w:r w:rsidRPr="00DA2A99">
        <w:t xml:space="preserve">This discussion shows </w:t>
      </w:r>
      <w:r w:rsidR="00DA2A99">
        <w:t xml:space="preserve">that inter-donor coordination via the </w:t>
      </w:r>
      <w:proofErr w:type="spellStart"/>
      <w:r w:rsidR="00DA2A99">
        <w:t>mIAB</w:t>
      </w:r>
      <w:proofErr w:type="spellEnd"/>
      <w:r w:rsidR="00DA2A99">
        <w:t xml:space="preserve">-node can address Issues 2a and 2b without AMF impact. </w:t>
      </w:r>
    </w:p>
    <w:p w14:paraId="56F6EA3B" w14:textId="51A8C30F" w:rsidR="006B3A5A" w:rsidRPr="006B3A5A" w:rsidRDefault="006B3A5A" w:rsidP="006B3A5A">
      <w:pPr>
        <w:spacing w:before="120" w:after="120"/>
        <w:rPr>
          <w:b/>
          <w:bCs/>
        </w:rPr>
      </w:pPr>
      <w:r w:rsidRPr="006B3A5A">
        <w:rPr>
          <w:b/>
          <w:bCs/>
        </w:rPr>
        <w:lastRenderedPageBreak/>
        <w:t>Observation 2</w:t>
      </w:r>
      <w:r w:rsidR="00085DB3">
        <w:rPr>
          <w:b/>
          <w:bCs/>
        </w:rPr>
        <w:t>b</w:t>
      </w:r>
      <w:r w:rsidRPr="006B3A5A">
        <w:rPr>
          <w:b/>
          <w:bCs/>
        </w:rPr>
        <w:t xml:space="preserve">: </w:t>
      </w:r>
      <w:r w:rsidR="00204289">
        <w:rPr>
          <w:b/>
          <w:bCs/>
        </w:rPr>
        <w:t>S</w:t>
      </w:r>
      <w:r w:rsidR="00085DB3">
        <w:rPr>
          <w:b/>
          <w:bCs/>
        </w:rPr>
        <w:t xml:space="preserve">uch </w:t>
      </w:r>
      <w:r w:rsidR="00CD3BD9">
        <w:rPr>
          <w:b/>
          <w:bCs/>
        </w:rPr>
        <w:t>a</w:t>
      </w:r>
      <w:r>
        <w:rPr>
          <w:b/>
          <w:bCs/>
        </w:rPr>
        <w:t xml:space="preserve"> comprehensive solution</w:t>
      </w:r>
      <w:r w:rsidR="00CD3BD9">
        <w:rPr>
          <w:b/>
          <w:bCs/>
        </w:rPr>
        <w:t xml:space="preserve"> </w:t>
      </w:r>
      <w:r w:rsidR="00204289">
        <w:rPr>
          <w:b/>
          <w:bCs/>
        </w:rPr>
        <w:t xml:space="preserve">can be achieved </w:t>
      </w:r>
      <w:r w:rsidR="00D92D27">
        <w:rPr>
          <w:b/>
          <w:bCs/>
        </w:rPr>
        <w:t>by allowing</w:t>
      </w:r>
      <w:r w:rsidR="00CD3BD9">
        <w:rPr>
          <w:b/>
          <w:bCs/>
        </w:rPr>
        <w:t xml:space="preserve"> </w:t>
      </w:r>
      <w:proofErr w:type="spellStart"/>
      <w:r w:rsidR="00DA2A99">
        <w:rPr>
          <w:b/>
          <w:bCs/>
        </w:rPr>
        <w:t>m</w:t>
      </w:r>
      <w:r w:rsidR="00CD3BD9">
        <w:rPr>
          <w:b/>
          <w:bCs/>
        </w:rPr>
        <w:t>IAB</w:t>
      </w:r>
      <w:proofErr w:type="spellEnd"/>
      <w:r w:rsidR="00CD3BD9">
        <w:rPr>
          <w:b/>
          <w:bCs/>
        </w:rPr>
        <w:t xml:space="preserve">-specific inter-donor </w:t>
      </w:r>
      <w:r w:rsidR="00D92D27">
        <w:rPr>
          <w:b/>
          <w:bCs/>
        </w:rPr>
        <w:t xml:space="preserve">TMM and IAB Resource Coordination procedures to be </w:t>
      </w:r>
      <w:r w:rsidR="008E2B18">
        <w:rPr>
          <w:b/>
          <w:bCs/>
        </w:rPr>
        <w:t xml:space="preserve">transparently </w:t>
      </w:r>
      <w:r w:rsidR="00D92D27">
        <w:rPr>
          <w:b/>
          <w:bCs/>
        </w:rPr>
        <w:t xml:space="preserve">conducted </w:t>
      </w:r>
      <w:r w:rsidR="00CD3BD9">
        <w:rPr>
          <w:b/>
          <w:bCs/>
        </w:rPr>
        <w:t>via the IAB-node.</w:t>
      </w:r>
    </w:p>
    <w:p w14:paraId="10507988" w14:textId="0C7483C4" w:rsidR="00726793" w:rsidRDefault="00AC1F6E" w:rsidP="00726793">
      <w:pPr>
        <w:spacing w:before="120" w:after="120"/>
      </w:pPr>
      <w:r>
        <w:t>Based on this solution, t</w:t>
      </w:r>
      <w:r w:rsidR="00726793">
        <w:t>he following is prosed:</w:t>
      </w:r>
    </w:p>
    <w:p w14:paraId="1433F487" w14:textId="78CB4C35" w:rsidR="00A877CA" w:rsidRPr="00AC1F6E" w:rsidRDefault="00A877CA" w:rsidP="00A877CA">
      <w:pPr>
        <w:spacing w:before="120" w:after="120"/>
        <w:rPr>
          <w:b/>
          <w:bCs/>
        </w:rPr>
      </w:pPr>
      <w:r w:rsidRPr="00AC1F6E">
        <w:rPr>
          <w:b/>
          <w:bCs/>
        </w:rPr>
        <w:t xml:space="preserve">Proposal 2a: </w:t>
      </w:r>
      <w:r>
        <w:rPr>
          <w:b/>
          <w:bCs/>
        </w:rPr>
        <w:t xml:space="preserve">The </w:t>
      </w:r>
      <w:r w:rsidR="00681CE2">
        <w:rPr>
          <w:b/>
          <w:bCs/>
        </w:rPr>
        <w:t xml:space="preserve">messages of </w:t>
      </w:r>
      <w:r w:rsidR="008E2B18">
        <w:rPr>
          <w:b/>
          <w:bCs/>
        </w:rPr>
        <w:t>TMM and IAB Resource Coordination</w:t>
      </w:r>
      <w:r w:rsidRPr="00AC1F6E">
        <w:rPr>
          <w:b/>
          <w:bCs/>
        </w:rPr>
        <w:t xml:space="preserve"> </w:t>
      </w:r>
      <w:r w:rsidR="00681CE2">
        <w:rPr>
          <w:b/>
          <w:bCs/>
        </w:rPr>
        <w:t>procedures</w:t>
      </w:r>
      <w:r w:rsidRPr="00AC1F6E">
        <w:rPr>
          <w:b/>
          <w:bCs/>
        </w:rPr>
        <w:t xml:space="preserve"> </w:t>
      </w:r>
      <w:r>
        <w:rPr>
          <w:b/>
          <w:bCs/>
        </w:rPr>
        <w:t>are</w:t>
      </w:r>
      <w:r w:rsidRPr="00AC1F6E">
        <w:rPr>
          <w:b/>
          <w:bCs/>
        </w:rPr>
        <w:t xml:space="preserve"> transparently </w:t>
      </w:r>
      <w:r>
        <w:rPr>
          <w:b/>
          <w:bCs/>
        </w:rPr>
        <w:t>passed</w:t>
      </w:r>
      <w:r w:rsidRPr="00AC1F6E">
        <w:rPr>
          <w:b/>
          <w:bCs/>
        </w:rPr>
        <w:t xml:space="preserve"> via the IAB-node</w:t>
      </w:r>
      <w:r w:rsidR="00681CE2">
        <w:rPr>
          <w:b/>
          <w:bCs/>
        </w:rPr>
        <w:t xml:space="preserve"> in case</w:t>
      </w:r>
      <w:r>
        <w:rPr>
          <w:b/>
          <w:bCs/>
        </w:rPr>
        <w:t xml:space="preserve"> </w:t>
      </w:r>
      <w:r w:rsidR="00681CE2">
        <w:rPr>
          <w:b/>
          <w:bCs/>
        </w:rPr>
        <w:t xml:space="preserve">(1) </w:t>
      </w:r>
      <w:proofErr w:type="spellStart"/>
      <w:r>
        <w:rPr>
          <w:b/>
          <w:bCs/>
        </w:rPr>
        <w:t>Xn</w:t>
      </w:r>
      <w:proofErr w:type="spellEnd"/>
      <w:r>
        <w:rPr>
          <w:b/>
          <w:bCs/>
        </w:rPr>
        <w:t xml:space="preserve"> is not available</w:t>
      </w:r>
      <w:r w:rsidRPr="00AC1F6E">
        <w:rPr>
          <w:b/>
          <w:bCs/>
        </w:rPr>
        <w:t>,</w:t>
      </w:r>
      <w:r>
        <w:rPr>
          <w:b/>
          <w:bCs/>
        </w:rPr>
        <w:t xml:space="preserve"> </w:t>
      </w:r>
      <w:r w:rsidR="00681CE2">
        <w:rPr>
          <w:b/>
          <w:bCs/>
        </w:rPr>
        <w:t>and/or</w:t>
      </w:r>
      <w:r>
        <w:rPr>
          <w:b/>
          <w:bCs/>
        </w:rPr>
        <w:t xml:space="preserve"> (2) the </w:t>
      </w:r>
      <w:r w:rsidRPr="00AC1F6E">
        <w:rPr>
          <w:b/>
          <w:bCs/>
        </w:rPr>
        <w:t xml:space="preserve">DU’s CU does not know the </w:t>
      </w:r>
      <w:proofErr w:type="spellStart"/>
      <w:r>
        <w:rPr>
          <w:b/>
          <w:bCs/>
        </w:rPr>
        <w:t>gNB</w:t>
      </w:r>
      <w:proofErr w:type="spellEnd"/>
      <w:r>
        <w:rPr>
          <w:b/>
          <w:bCs/>
        </w:rPr>
        <w:t xml:space="preserve">-ID of the </w:t>
      </w:r>
      <w:r w:rsidRPr="00AC1F6E">
        <w:rPr>
          <w:b/>
          <w:bCs/>
        </w:rPr>
        <w:t xml:space="preserve">MT’s CU or the MT’s </w:t>
      </w:r>
      <w:proofErr w:type="spellStart"/>
      <w:r w:rsidRPr="00AC1F6E">
        <w:rPr>
          <w:b/>
          <w:bCs/>
        </w:rPr>
        <w:t>XnAP</w:t>
      </w:r>
      <w:proofErr w:type="spellEnd"/>
      <w:r w:rsidRPr="00AC1F6E">
        <w:rPr>
          <w:b/>
          <w:bCs/>
        </w:rPr>
        <w:t xml:space="preserve"> UE ID</w:t>
      </w:r>
      <w:r>
        <w:rPr>
          <w:b/>
          <w:bCs/>
        </w:rPr>
        <w:t xml:space="preserve">. </w:t>
      </w:r>
    </w:p>
    <w:p w14:paraId="1C59F580" w14:textId="2DA2BC7E" w:rsidR="00A877CA" w:rsidRDefault="00A877CA" w:rsidP="00A877CA">
      <w:pPr>
        <w:spacing w:before="120" w:after="120"/>
        <w:rPr>
          <w:b/>
          <w:bCs/>
        </w:rPr>
      </w:pPr>
      <w:r w:rsidRPr="00AC1F6E">
        <w:rPr>
          <w:b/>
          <w:bCs/>
        </w:rPr>
        <w:t>Proposal 2</w:t>
      </w:r>
      <w:r w:rsidR="00681CE2">
        <w:rPr>
          <w:b/>
          <w:bCs/>
        </w:rPr>
        <w:t>b</w:t>
      </w:r>
      <w:r w:rsidRPr="00AC1F6E">
        <w:rPr>
          <w:b/>
          <w:bCs/>
        </w:rPr>
        <w:t xml:space="preserve">: </w:t>
      </w:r>
      <w:r>
        <w:rPr>
          <w:b/>
          <w:bCs/>
        </w:rPr>
        <w:t xml:space="preserve">When </w:t>
      </w:r>
      <w:r w:rsidR="00B611E7">
        <w:rPr>
          <w:b/>
          <w:bCs/>
        </w:rPr>
        <w:t>such a message</w:t>
      </w:r>
      <w:r>
        <w:rPr>
          <w:b/>
          <w:bCs/>
        </w:rPr>
        <w:t xml:space="preserve"> is transparently passed via the </w:t>
      </w:r>
      <w:proofErr w:type="spellStart"/>
      <w:r>
        <w:rPr>
          <w:b/>
          <w:bCs/>
        </w:rPr>
        <w:t>mIAB</w:t>
      </w:r>
      <w:proofErr w:type="spellEnd"/>
      <w:r>
        <w:rPr>
          <w:b/>
          <w:bCs/>
        </w:rPr>
        <w:t xml:space="preserve">-node, the </w:t>
      </w:r>
      <w:proofErr w:type="spellStart"/>
      <w:r>
        <w:rPr>
          <w:b/>
          <w:bCs/>
        </w:rPr>
        <w:t>gNB</w:t>
      </w:r>
      <w:proofErr w:type="spellEnd"/>
      <w:r>
        <w:rPr>
          <w:b/>
          <w:bCs/>
        </w:rPr>
        <w:t xml:space="preserve">-ID of the DU’s CU is included on </w:t>
      </w:r>
      <w:r w:rsidR="00307A32">
        <w:rPr>
          <w:b/>
          <w:bCs/>
        </w:rPr>
        <w:t xml:space="preserve">the </w:t>
      </w:r>
      <w:r>
        <w:rPr>
          <w:b/>
          <w:bCs/>
        </w:rPr>
        <w:t xml:space="preserve">RRC section of the message’s path.  </w:t>
      </w:r>
    </w:p>
    <w:p w14:paraId="449D50CB" w14:textId="7B1F638E" w:rsidR="00681CE2" w:rsidRDefault="00A877CA" w:rsidP="00A877CA">
      <w:pPr>
        <w:spacing w:before="120" w:after="120"/>
        <w:rPr>
          <w:b/>
          <w:bCs/>
        </w:rPr>
      </w:pPr>
      <w:r>
        <w:rPr>
          <w:b/>
          <w:bCs/>
        </w:rPr>
        <w:t>Proposal 2</w:t>
      </w:r>
      <w:r w:rsidR="00681CE2">
        <w:rPr>
          <w:b/>
          <w:bCs/>
        </w:rPr>
        <w:t>c</w:t>
      </w:r>
      <w:r>
        <w:rPr>
          <w:b/>
          <w:bCs/>
        </w:rPr>
        <w:t xml:space="preserve">: </w:t>
      </w:r>
      <w:r w:rsidR="002355CD">
        <w:rPr>
          <w:b/>
          <w:bCs/>
        </w:rPr>
        <w:t>When t</w:t>
      </w:r>
      <w:r w:rsidR="00C75D02">
        <w:rPr>
          <w:b/>
          <w:bCs/>
        </w:rPr>
        <w:t>he</w:t>
      </w:r>
      <w:r w:rsidR="00681CE2">
        <w:rPr>
          <w:b/>
          <w:bCs/>
        </w:rPr>
        <w:t xml:space="preserve"> </w:t>
      </w:r>
      <w:proofErr w:type="spellStart"/>
      <w:r w:rsidR="00CC13CE">
        <w:rPr>
          <w:b/>
          <w:bCs/>
        </w:rPr>
        <w:t>m</w:t>
      </w:r>
      <w:r w:rsidR="00681CE2">
        <w:rPr>
          <w:b/>
          <w:bCs/>
        </w:rPr>
        <w:t>IAB</w:t>
      </w:r>
      <w:proofErr w:type="spellEnd"/>
      <w:r w:rsidR="00681CE2">
        <w:rPr>
          <w:b/>
          <w:bCs/>
        </w:rPr>
        <w:t xml:space="preserve">-node </w:t>
      </w:r>
      <w:r w:rsidR="002355CD">
        <w:rPr>
          <w:b/>
          <w:bCs/>
        </w:rPr>
        <w:t xml:space="preserve">determines that </w:t>
      </w:r>
      <w:r w:rsidR="004D0D29">
        <w:rPr>
          <w:b/>
          <w:bCs/>
        </w:rPr>
        <w:t>(one of) its</w:t>
      </w:r>
      <w:r w:rsidR="002355CD">
        <w:rPr>
          <w:b/>
          <w:bCs/>
        </w:rPr>
        <w:t xml:space="preserve"> logical DU’s CU does not know the MT’s CU (e.g., after MT migration or logical DU integration), it sends a trigger to the logical </w:t>
      </w:r>
      <w:r w:rsidR="00C75D02">
        <w:rPr>
          <w:b/>
          <w:bCs/>
        </w:rPr>
        <w:t>DU’s CU</w:t>
      </w:r>
      <w:r w:rsidR="002355CD">
        <w:rPr>
          <w:b/>
          <w:bCs/>
        </w:rPr>
        <w:t xml:space="preserve"> </w:t>
      </w:r>
      <w:r w:rsidR="004D0D29">
        <w:rPr>
          <w:b/>
          <w:bCs/>
        </w:rPr>
        <w:t xml:space="preserve">so that </w:t>
      </w:r>
      <w:proofErr w:type="gramStart"/>
      <w:r w:rsidR="004D0D29">
        <w:rPr>
          <w:b/>
          <w:bCs/>
        </w:rPr>
        <w:t>the  logical</w:t>
      </w:r>
      <w:proofErr w:type="gramEnd"/>
      <w:r w:rsidR="004D0D29">
        <w:rPr>
          <w:b/>
          <w:bCs/>
        </w:rPr>
        <w:t xml:space="preserve"> DU’s CU</w:t>
      </w:r>
      <w:r w:rsidR="002355CD">
        <w:rPr>
          <w:b/>
          <w:bCs/>
        </w:rPr>
        <w:t xml:space="preserve"> </w:t>
      </w:r>
      <w:r w:rsidR="004D0D29">
        <w:rPr>
          <w:b/>
          <w:bCs/>
        </w:rPr>
        <w:t xml:space="preserve">can </w:t>
      </w:r>
      <w:r w:rsidR="002355CD">
        <w:rPr>
          <w:b/>
          <w:bCs/>
        </w:rPr>
        <w:t xml:space="preserve">initiate </w:t>
      </w:r>
      <w:r w:rsidR="004D0D29">
        <w:rPr>
          <w:b/>
          <w:bCs/>
        </w:rPr>
        <w:t>the</w:t>
      </w:r>
      <w:r w:rsidR="002355CD">
        <w:rPr>
          <w:b/>
          <w:bCs/>
        </w:rPr>
        <w:t xml:space="preserve"> inter-donor coordination via</w:t>
      </w:r>
      <w:r w:rsidR="00681CE2">
        <w:rPr>
          <w:b/>
          <w:bCs/>
        </w:rPr>
        <w:t xml:space="preserve"> </w:t>
      </w:r>
      <w:r w:rsidR="00CC13CE">
        <w:rPr>
          <w:b/>
          <w:bCs/>
        </w:rPr>
        <w:t xml:space="preserve">the </w:t>
      </w:r>
      <w:proofErr w:type="spellStart"/>
      <w:r w:rsidR="00681CE2">
        <w:rPr>
          <w:b/>
          <w:bCs/>
        </w:rPr>
        <w:t>mIAB</w:t>
      </w:r>
      <w:proofErr w:type="spellEnd"/>
      <w:r w:rsidR="00681CE2">
        <w:rPr>
          <w:b/>
          <w:bCs/>
        </w:rPr>
        <w:t xml:space="preserve">-node. </w:t>
      </w:r>
    </w:p>
    <w:p w14:paraId="3F9C3027" w14:textId="77777777" w:rsidR="00A877CA" w:rsidRDefault="00A877CA" w:rsidP="00AC1F6E">
      <w:pPr>
        <w:spacing w:before="120" w:after="120"/>
        <w:rPr>
          <w:b/>
          <w:bCs/>
        </w:rPr>
      </w:pPr>
    </w:p>
    <w:p w14:paraId="20329B43" w14:textId="61F53B51" w:rsidR="00377BD0" w:rsidRDefault="00377BD0" w:rsidP="00377BD0">
      <w:pPr>
        <w:pStyle w:val="Heading2"/>
        <w:rPr>
          <w:highlight w:val="yellow"/>
        </w:rPr>
      </w:pPr>
      <w:r>
        <w:rPr>
          <w:highlight w:val="yellow"/>
        </w:rPr>
        <w:t>Issue 3:</w:t>
      </w:r>
      <w:r w:rsidRPr="002335F9">
        <w:t xml:space="preserve"> </w:t>
      </w:r>
      <w:r>
        <w:t xml:space="preserve">Passing of </w:t>
      </w:r>
      <w:proofErr w:type="spellStart"/>
      <w:r>
        <w:t>mIAB</w:t>
      </w:r>
      <w:proofErr w:type="spellEnd"/>
      <w:r>
        <w:t xml:space="preserve">-MT’s ULI to </w:t>
      </w:r>
      <w:proofErr w:type="spellStart"/>
      <w:r>
        <w:t>mIAB</w:t>
      </w:r>
      <w:proofErr w:type="spellEnd"/>
      <w:r>
        <w:t>-DU’s CU</w:t>
      </w:r>
    </w:p>
    <w:p w14:paraId="73A77426" w14:textId="22893350" w:rsidR="00D82418" w:rsidRDefault="00D82418" w:rsidP="00844775">
      <w:pPr>
        <w:spacing w:before="120" w:after="120"/>
      </w:pPr>
      <w:r>
        <w:t xml:space="preserve">SA2 requested that the ULI for a UE connected to an </w:t>
      </w:r>
      <w:proofErr w:type="spellStart"/>
      <w:r>
        <w:t>mIAB</w:t>
      </w:r>
      <w:proofErr w:type="spellEnd"/>
      <w:r>
        <w:t xml:space="preserve">-DU should include the ULI of the collocated </w:t>
      </w:r>
      <w:proofErr w:type="spellStart"/>
      <w:r>
        <w:t>mIAB</w:t>
      </w:r>
      <w:proofErr w:type="spellEnd"/>
      <w:r>
        <w:t>-MT</w:t>
      </w:r>
      <w:r w:rsidR="00307A32" w:rsidRPr="00307A32">
        <w:t xml:space="preserve"> </w:t>
      </w:r>
      <w:r w:rsidR="00307A32">
        <w:t>(R</w:t>
      </w:r>
      <w:r w:rsidR="00C50427">
        <w:t>3</w:t>
      </w:r>
      <w:r w:rsidR="00307A32">
        <w:t>-230032)</w:t>
      </w:r>
      <w:r>
        <w:t>.</w:t>
      </w:r>
      <w:r w:rsidRPr="00E023DE">
        <w:t xml:space="preserve"> </w:t>
      </w:r>
      <w:r>
        <w:t xml:space="preserve">RAN3 promised </w:t>
      </w:r>
      <w:r w:rsidR="00C50427">
        <w:t>to SA2 to</w:t>
      </w:r>
      <w:r>
        <w:t xml:space="preserve"> support this functionality </w:t>
      </w:r>
      <w:r w:rsidR="00C50427">
        <w:t>(</w:t>
      </w:r>
      <w:r w:rsidRPr="003F261E">
        <w:t>R3-231011</w:t>
      </w:r>
      <w:r w:rsidR="00C50427">
        <w:t>)</w:t>
      </w:r>
      <w:r>
        <w:t>.</w:t>
      </w:r>
      <w:r w:rsidR="00844775">
        <w:t xml:space="preserve"> However, </w:t>
      </w:r>
      <w:r>
        <w:t xml:space="preserve">RAN3 has not able to converge on how the </w:t>
      </w:r>
      <w:proofErr w:type="spellStart"/>
      <w:r>
        <w:t>mIAB</w:t>
      </w:r>
      <w:proofErr w:type="spellEnd"/>
      <w:r>
        <w:t xml:space="preserve">-MT’s ULI information is passed to the </w:t>
      </w:r>
      <w:proofErr w:type="spellStart"/>
      <w:r>
        <w:t>mIAB</w:t>
      </w:r>
      <w:proofErr w:type="spellEnd"/>
      <w:r>
        <w:t xml:space="preserve">-DU’s CU. </w:t>
      </w:r>
      <w:r w:rsidR="00844775">
        <w:t xml:space="preserve">Some companies prefer to have this information passed </w:t>
      </w:r>
      <w:r w:rsidR="004A5076">
        <w:t>from</w:t>
      </w:r>
      <w:r w:rsidR="00844775">
        <w:t xml:space="preserve"> the MT’s CU to the DU’s CU via </w:t>
      </w:r>
      <w:proofErr w:type="spellStart"/>
      <w:r w:rsidR="00844775">
        <w:t>Xn</w:t>
      </w:r>
      <w:proofErr w:type="spellEnd"/>
      <w:r w:rsidR="00844775">
        <w:t xml:space="preserve">, while others prefer to have it passed </w:t>
      </w:r>
      <w:r w:rsidR="004A5076">
        <w:t>from</w:t>
      </w:r>
      <w:r w:rsidR="00844775">
        <w:t xml:space="preserve"> the IAB-node to the DU’s CU.</w:t>
      </w:r>
    </w:p>
    <w:p w14:paraId="71EABE0F" w14:textId="18BCD959" w:rsidR="00844775" w:rsidRDefault="00844775" w:rsidP="00844775">
      <w:pPr>
        <w:spacing w:before="120" w:after="120"/>
      </w:pPr>
      <w:r>
        <w:t xml:space="preserve">In analogy to Issue 2, the passing of the MT’s ULI to the DU’s CU should be supported even if </w:t>
      </w:r>
      <w:proofErr w:type="spellStart"/>
      <w:r>
        <w:t>Xn</w:t>
      </w:r>
      <w:proofErr w:type="spellEnd"/>
      <w:r>
        <w:t xml:space="preserve"> is not available. Further, as discussed under Issue 2, the passing of new information via NG/AMF should be avoided since this has specification impact on the AMF.</w:t>
      </w:r>
    </w:p>
    <w:p w14:paraId="0F781A71" w14:textId="5E41AAA7" w:rsidR="00844775" w:rsidRPr="00844775" w:rsidRDefault="00844775" w:rsidP="00844775">
      <w:pPr>
        <w:spacing w:before="120" w:after="120"/>
        <w:rPr>
          <w:b/>
          <w:bCs/>
        </w:rPr>
      </w:pPr>
      <w:r w:rsidRPr="00844775">
        <w:rPr>
          <w:b/>
          <w:bCs/>
        </w:rPr>
        <w:t xml:space="preserve">Observation 3: The passing of the MT’s ULI to the DU’s CU should be supported in absence of </w:t>
      </w:r>
      <w:proofErr w:type="spellStart"/>
      <w:r w:rsidRPr="00844775">
        <w:rPr>
          <w:b/>
          <w:bCs/>
        </w:rPr>
        <w:t>Xn</w:t>
      </w:r>
      <w:proofErr w:type="spellEnd"/>
      <w:r w:rsidRPr="00844775">
        <w:rPr>
          <w:b/>
          <w:bCs/>
        </w:rPr>
        <w:t>, and it should avoid specification impact on the AMF.</w:t>
      </w:r>
    </w:p>
    <w:p w14:paraId="32C77EA0" w14:textId="786DB832" w:rsidR="00844775" w:rsidRDefault="00844775" w:rsidP="00844775">
      <w:pPr>
        <w:spacing w:before="120" w:after="120"/>
      </w:pPr>
      <w:r>
        <w:t xml:space="preserve">Based on Observation 3, the </w:t>
      </w:r>
      <w:r w:rsidR="00FA55F6">
        <w:t xml:space="preserve">IAB-node to pass the </w:t>
      </w:r>
      <w:r>
        <w:t xml:space="preserve">MT’s ULI </w:t>
      </w:r>
      <w:r w:rsidR="00FA55F6">
        <w:t>info to the DU’s CU</w:t>
      </w:r>
      <w:r>
        <w:t xml:space="preserve">.  </w:t>
      </w:r>
    </w:p>
    <w:p w14:paraId="3B36B741" w14:textId="2A7406F7" w:rsidR="00844775" w:rsidRPr="00844775" w:rsidRDefault="00844775" w:rsidP="00844775">
      <w:pPr>
        <w:spacing w:before="120" w:after="120"/>
        <w:rPr>
          <w:b/>
          <w:bCs/>
        </w:rPr>
      </w:pPr>
      <w:r>
        <w:rPr>
          <w:b/>
          <w:bCs/>
        </w:rPr>
        <w:t>Proposal</w:t>
      </w:r>
      <w:r w:rsidRPr="00844775">
        <w:rPr>
          <w:b/>
          <w:bCs/>
        </w:rPr>
        <w:t xml:space="preserve"> 3: The </w:t>
      </w:r>
      <w:proofErr w:type="spellStart"/>
      <w:r>
        <w:rPr>
          <w:b/>
          <w:bCs/>
        </w:rPr>
        <w:t>mIAB</w:t>
      </w:r>
      <w:proofErr w:type="spellEnd"/>
      <w:r>
        <w:rPr>
          <w:b/>
          <w:bCs/>
        </w:rPr>
        <w:t>-DU to pass the</w:t>
      </w:r>
      <w:r w:rsidRPr="00844775">
        <w:rPr>
          <w:b/>
          <w:bCs/>
        </w:rPr>
        <w:t xml:space="preserve"> MT’s ULI to </w:t>
      </w:r>
      <w:r>
        <w:rPr>
          <w:b/>
          <w:bCs/>
        </w:rPr>
        <w:t>its CU via F1AP.</w:t>
      </w:r>
    </w:p>
    <w:p w14:paraId="40CA991D" w14:textId="77777777" w:rsidR="00D82418" w:rsidRDefault="00D82418" w:rsidP="00D82418">
      <w:pPr>
        <w:spacing w:before="120" w:after="120"/>
        <w:rPr>
          <w:b/>
          <w:bCs/>
        </w:rPr>
      </w:pPr>
    </w:p>
    <w:p w14:paraId="0688A661" w14:textId="7CA3545E" w:rsidR="00844775" w:rsidRDefault="00844775" w:rsidP="00844775">
      <w:pPr>
        <w:pStyle w:val="Heading2"/>
        <w:rPr>
          <w:highlight w:val="yellow"/>
        </w:rPr>
      </w:pPr>
      <w:r>
        <w:rPr>
          <w:highlight w:val="yellow"/>
        </w:rPr>
        <w:t>Issue 4:</w:t>
      </w:r>
      <w:r w:rsidRPr="002335F9">
        <w:t xml:space="preserve"> </w:t>
      </w:r>
      <w:r w:rsidR="00592E94">
        <w:t>F1AP procedures</w:t>
      </w:r>
      <w:r>
        <w:t xml:space="preserve"> for triggering</w:t>
      </w:r>
      <w:r w:rsidR="00592E94">
        <w:t xml:space="preserve"> and </w:t>
      </w:r>
      <w:r>
        <w:t>outcome</w:t>
      </w:r>
      <w:r w:rsidR="00592E94">
        <w:t>-reporting</w:t>
      </w:r>
      <w:r>
        <w:t xml:space="preserve"> of DU migration</w:t>
      </w:r>
    </w:p>
    <w:p w14:paraId="5B0A1475" w14:textId="1ADAB386" w:rsidR="00844775" w:rsidRDefault="00844775" w:rsidP="00844775">
      <w:pPr>
        <w:spacing w:before="120" w:after="120"/>
      </w:pPr>
      <w:r>
        <w:t xml:space="preserve">RAN3 agreed that for DU migration, the source logical DU’s </w:t>
      </w:r>
      <w:r w:rsidR="00D828F2">
        <w:t xml:space="preserve">CU </w:t>
      </w:r>
      <w:r>
        <w:t>can</w:t>
      </w:r>
      <w:r w:rsidR="00592E94">
        <w:t xml:space="preserve"> trigger </w:t>
      </w:r>
      <w:r>
        <w:t xml:space="preserve">the establishment of F1 </w:t>
      </w:r>
      <w:r w:rsidR="00592E94">
        <w:t xml:space="preserve">Setup </w:t>
      </w:r>
      <w:r>
        <w:t xml:space="preserve">to the target logical DU’s CU via F1AP. The source logical DU </w:t>
      </w:r>
      <w:r w:rsidR="00D828F2">
        <w:t xml:space="preserve">further </w:t>
      </w:r>
      <w:r w:rsidR="00592E94">
        <w:t>report</w:t>
      </w:r>
      <w:r w:rsidR="00C162C9">
        <w:t>s</w:t>
      </w:r>
      <w:r w:rsidR="00592E94">
        <w:t xml:space="preserve"> the outcome of the F1 Setup procedure to its CU via F1AP</w:t>
      </w:r>
      <w:r w:rsidR="00D828F2">
        <w:t xml:space="preserve">. </w:t>
      </w:r>
    </w:p>
    <w:p w14:paraId="6CF34C38" w14:textId="77777777" w:rsidR="00364BEB" w:rsidRDefault="00592E94" w:rsidP="00844775">
      <w:pPr>
        <w:spacing w:before="120" w:after="120"/>
      </w:pPr>
      <w:r w:rsidRPr="00592E94">
        <w:t>RAN3 could not agree</w:t>
      </w:r>
      <w:r w:rsidR="00364BEB">
        <w:t xml:space="preserve"> on the following issues:</w:t>
      </w:r>
    </w:p>
    <w:p w14:paraId="004F7A10" w14:textId="039D6DFB" w:rsidR="00364BEB" w:rsidRDefault="00364BEB" w:rsidP="00844775">
      <w:pPr>
        <w:spacing w:before="120" w:after="120"/>
      </w:pPr>
      <w:r w:rsidRPr="00364BEB">
        <w:rPr>
          <w:b/>
          <w:bCs/>
          <w:highlight w:val="yellow"/>
        </w:rPr>
        <w:t>Issue 4a</w:t>
      </w:r>
      <w:r>
        <w:t>: Whether</w:t>
      </w:r>
      <w:r w:rsidR="00592E94" w:rsidRPr="00592E94">
        <w:t xml:space="preserve"> </w:t>
      </w:r>
      <w:r w:rsidR="00C162C9">
        <w:t>legacy</w:t>
      </w:r>
      <w:r w:rsidR="00592E94" w:rsidRPr="00592E94">
        <w:t xml:space="preserve"> </w:t>
      </w:r>
      <w:r>
        <w:t xml:space="preserve">or new </w:t>
      </w:r>
      <w:r w:rsidR="00592E94">
        <w:t xml:space="preserve">F1AP </w:t>
      </w:r>
      <w:r w:rsidR="00592E94" w:rsidRPr="00592E94">
        <w:t xml:space="preserve">procedures </w:t>
      </w:r>
      <w:r>
        <w:t>should be</w:t>
      </w:r>
      <w:r w:rsidR="00592E94" w:rsidRPr="00592E94">
        <w:t xml:space="preserve"> used </w:t>
      </w:r>
      <w:r w:rsidR="00592E94">
        <w:t xml:space="preserve">for </w:t>
      </w:r>
      <w:r w:rsidR="00C162C9">
        <w:t xml:space="preserve">this </w:t>
      </w:r>
      <w:proofErr w:type="spellStart"/>
      <w:r w:rsidR="00C162C9">
        <w:t>signaling</w:t>
      </w:r>
      <w:proofErr w:type="spellEnd"/>
      <w:r w:rsidR="00592E94">
        <w:t>.</w:t>
      </w:r>
      <w:r w:rsidR="00850785">
        <w:t xml:space="preserve"> </w:t>
      </w:r>
    </w:p>
    <w:p w14:paraId="2DE71C68" w14:textId="6F0CD9F0" w:rsidR="00364BEB" w:rsidRDefault="00364BEB" w:rsidP="00844775">
      <w:pPr>
        <w:spacing w:before="120" w:after="120"/>
      </w:pPr>
      <w:r w:rsidRPr="00364BEB">
        <w:rPr>
          <w:b/>
          <w:bCs/>
          <w:highlight w:val="yellow"/>
        </w:rPr>
        <w:t>Issue 4b</w:t>
      </w:r>
      <w:r>
        <w:t>: Whether a common class-1 procedure can be used for the triggering of F1 Setup and report of the outcome.</w:t>
      </w:r>
    </w:p>
    <w:p w14:paraId="396D6772" w14:textId="77777777" w:rsidR="00364BEB" w:rsidRDefault="00364BEB" w:rsidP="00844775">
      <w:pPr>
        <w:spacing w:before="120" w:after="120"/>
      </w:pPr>
    </w:p>
    <w:p w14:paraId="5CED4235" w14:textId="23D4E5FE" w:rsidR="00592E94" w:rsidRDefault="00364BEB" w:rsidP="00844775">
      <w:pPr>
        <w:spacing w:before="120" w:after="120"/>
      </w:pPr>
      <w:r>
        <w:t xml:space="preserve">On </w:t>
      </w:r>
      <w:r w:rsidRPr="00364BEB">
        <w:rPr>
          <w:highlight w:val="yellow"/>
        </w:rPr>
        <w:t>Issue 4a</w:t>
      </w:r>
      <w:r>
        <w:t>, t</w:t>
      </w:r>
      <w:r w:rsidR="00850785">
        <w:t>he following views were raised:</w:t>
      </w:r>
    </w:p>
    <w:p w14:paraId="036E01AD" w14:textId="0E5070DC" w:rsidR="00592E94" w:rsidRDefault="00592E94" w:rsidP="00850785">
      <w:pPr>
        <w:pStyle w:val="ListParagraph"/>
        <w:numPr>
          <w:ilvl w:val="0"/>
          <w:numId w:val="43"/>
        </w:numPr>
        <w:spacing w:before="120" w:after="120"/>
        <w:contextualSpacing w:val="0"/>
      </w:pPr>
      <w:r>
        <w:t xml:space="preserve">Promoters of using </w:t>
      </w:r>
      <w:r w:rsidR="00C162C9">
        <w:rPr>
          <w:b/>
          <w:bCs/>
          <w:i/>
          <w:iCs/>
        </w:rPr>
        <w:t>legacy</w:t>
      </w:r>
      <w:r w:rsidRPr="00850785">
        <w:rPr>
          <w:b/>
          <w:bCs/>
          <w:i/>
          <w:iCs/>
        </w:rPr>
        <w:t xml:space="preserve"> F1AP procedures</w:t>
      </w:r>
      <w:r>
        <w:t xml:space="preserve"> emphasize that </w:t>
      </w:r>
      <w:r w:rsidR="00850785">
        <w:t xml:space="preserve">reusing </w:t>
      </w:r>
      <w:r w:rsidR="00C162C9">
        <w:t>legacy</w:t>
      </w:r>
      <w:r w:rsidR="00850785">
        <w:t xml:space="preserve"> messages </w:t>
      </w:r>
      <w:r w:rsidR="00C162C9">
        <w:t>would have</w:t>
      </w:r>
      <w:r w:rsidR="00850785">
        <w:t xml:space="preserve"> lower complexity. </w:t>
      </w:r>
    </w:p>
    <w:p w14:paraId="014A6B23" w14:textId="4C6481C9" w:rsidR="00850785" w:rsidRPr="00592E94" w:rsidRDefault="00850785" w:rsidP="00850785">
      <w:pPr>
        <w:pStyle w:val="ListParagraph"/>
        <w:numPr>
          <w:ilvl w:val="0"/>
          <w:numId w:val="43"/>
        </w:numPr>
        <w:spacing w:before="120" w:after="120"/>
        <w:contextualSpacing w:val="0"/>
      </w:pPr>
      <w:r>
        <w:t xml:space="preserve">Promoters of </w:t>
      </w:r>
      <w:r w:rsidRPr="00850785">
        <w:rPr>
          <w:b/>
          <w:bCs/>
          <w:i/>
          <w:iCs/>
        </w:rPr>
        <w:t>introducing new F1AP procedures</w:t>
      </w:r>
      <w:r>
        <w:t xml:space="preserve"> argue that </w:t>
      </w:r>
      <w:r w:rsidR="00C162C9">
        <w:t>legacy</w:t>
      </w:r>
      <w:r>
        <w:t xml:space="preserve"> message</w:t>
      </w:r>
      <w:r w:rsidR="00106BD8">
        <w:t>s</w:t>
      </w:r>
      <w:r>
        <w:t xml:space="preserve"> </w:t>
      </w:r>
      <w:r w:rsidR="00106BD8">
        <w:t>cannot</w:t>
      </w:r>
      <w:r>
        <w:t xml:space="preserve"> be used since the message content </w:t>
      </w:r>
      <w:r w:rsidR="00106BD8">
        <w:t>does</w:t>
      </w:r>
      <w:r>
        <w:t xml:space="preserve"> not refer to the </w:t>
      </w:r>
      <w:r w:rsidRPr="00850785">
        <w:rPr>
          <w:i/>
          <w:iCs/>
        </w:rPr>
        <w:t>source</w:t>
      </w:r>
      <w:r>
        <w:t xml:space="preserve"> logical DU.</w:t>
      </w:r>
    </w:p>
    <w:p w14:paraId="7B241A2A" w14:textId="1072AFFD" w:rsidR="00844775" w:rsidRPr="00850785" w:rsidRDefault="00850785" w:rsidP="00844775">
      <w:pPr>
        <w:spacing w:before="120" w:after="120"/>
      </w:pPr>
      <w:r>
        <w:t>It is certainly correct that u</w:t>
      </w:r>
      <w:r w:rsidRPr="00850785">
        <w:t xml:space="preserve">sing </w:t>
      </w:r>
      <w:r w:rsidR="00C162C9">
        <w:t>legacy</w:t>
      </w:r>
      <w:r w:rsidRPr="00850785">
        <w:t xml:space="preserve"> F1AP procedures has lower complexity than introducing new procedures. </w:t>
      </w:r>
    </w:p>
    <w:p w14:paraId="21068E41" w14:textId="60350866" w:rsidR="009543C0" w:rsidRDefault="00850785" w:rsidP="00844775">
      <w:pPr>
        <w:spacing w:before="120" w:after="120"/>
      </w:pPr>
      <w:r>
        <w:t xml:space="preserve">It is further correct that the information passed in these F1AP messages does not </w:t>
      </w:r>
      <w:r w:rsidR="00733E21">
        <w:t xml:space="preserve">refer to </w:t>
      </w:r>
      <w:r>
        <w:t xml:space="preserve">the </w:t>
      </w:r>
      <w:r w:rsidR="00106BD8">
        <w:t xml:space="preserve">source </w:t>
      </w:r>
      <w:r w:rsidR="009543C0">
        <w:t>logical DU</w:t>
      </w:r>
      <w:r w:rsidR="00733E21">
        <w:t>, but more generally to the IAB-node</w:t>
      </w:r>
      <w:r w:rsidR="009543C0">
        <w:t>.</w:t>
      </w:r>
      <w:r>
        <w:t xml:space="preserve"> </w:t>
      </w:r>
      <w:r w:rsidR="00C162C9">
        <w:t>This</w:t>
      </w:r>
      <w:r w:rsidR="00733E21">
        <w:t xml:space="preserve"> issue, however, applies to legacy as well as new F1AP procedures. </w:t>
      </w:r>
      <w:r w:rsidR="008F4F99">
        <w:t xml:space="preserve">Therefore, </w:t>
      </w:r>
      <w:r w:rsidR="00733E21">
        <w:t xml:space="preserve">it cannot be used to </w:t>
      </w:r>
      <w:r w:rsidR="008F4F99">
        <w:t>justify the introduction of new procedures.</w:t>
      </w:r>
      <w:r w:rsidR="00733E21">
        <w:t xml:space="preserve"> </w:t>
      </w:r>
    </w:p>
    <w:p w14:paraId="13B527C9" w14:textId="34325770" w:rsidR="008F4F99" w:rsidRDefault="00733E21" w:rsidP="00844775">
      <w:pPr>
        <w:spacing w:before="120" w:after="120"/>
      </w:pPr>
      <w:r>
        <w:t>There is</w:t>
      </w:r>
      <w:r w:rsidR="008F4F99">
        <w:t xml:space="preserve"> </w:t>
      </w:r>
      <w:r>
        <w:t xml:space="preserve">further a </w:t>
      </w:r>
      <w:r w:rsidR="008F4F99">
        <w:t>precedence</w:t>
      </w:r>
      <w:r>
        <w:t>, where</w:t>
      </w:r>
      <w:r w:rsidR="008F4F99">
        <w:t xml:space="preserve"> information </w:t>
      </w:r>
      <w:r>
        <w:t xml:space="preserve">related to the IAB-node rather than the IAB-DU </w:t>
      </w:r>
      <w:r w:rsidR="008F4F99">
        <w:t xml:space="preserve">is passed via </w:t>
      </w:r>
      <w:r>
        <w:t xml:space="preserve">a legacy </w:t>
      </w:r>
      <w:r w:rsidR="008F4F99">
        <w:t>F1AP</w:t>
      </w:r>
      <w:r>
        <w:t xml:space="preserve"> procedure</w:t>
      </w:r>
      <w:r w:rsidR="00316A4C">
        <w:t>:</w:t>
      </w:r>
      <w:r>
        <w:t xml:space="preserve"> When the IAB-node is configured with </w:t>
      </w:r>
      <w:proofErr w:type="gramStart"/>
      <w:r>
        <w:t>an</w:t>
      </w:r>
      <w:proofErr w:type="gramEnd"/>
      <w:r>
        <w:t xml:space="preserve"> BAP address via RRC, it passes this BAP address back to </w:t>
      </w:r>
      <w:r>
        <w:lastRenderedPageBreak/>
        <w:t xml:space="preserve">the CU in the legacy F1 Setup Request. </w:t>
      </w:r>
      <w:r w:rsidR="00C02B79">
        <w:t xml:space="preserve">Therefore, using </w:t>
      </w:r>
      <w:r>
        <w:t>legacy</w:t>
      </w:r>
      <w:r w:rsidR="00C02B79">
        <w:t xml:space="preserve"> </w:t>
      </w:r>
      <w:r>
        <w:t>F1AP procedures</w:t>
      </w:r>
      <w:r w:rsidR="00C02B79">
        <w:t xml:space="preserve"> </w:t>
      </w:r>
      <w:r>
        <w:t>for the</w:t>
      </w:r>
      <w:r w:rsidR="00C02B79">
        <w:t xml:space="preserve"> above information </w:t>
      </w:r>
      <w:r>
        <w:t xml:space="preserve">transfer would not </w:t>
      </w:r>
      <w:proofErr w:type="gramStart"/>
      <w:r>
        <w:t>be in conflict with</w:t>
      </w:r>
      <w:proofErr w:type="gramEnd"/>
      <w:r>
        <w:t xml:space="preserve"> RAN3 procedures</w:t>
      </w:r>
      <w:r w:rsidR="00C02B79">
        <w:t xml:space="preserve">. </w:t>
      </w:r>
      <w:r w:rsidR="008F4F99">
        <w:t xml:space="preserve"> </w:t>
      </w:r>
    </w:p>
    <w:p w14:paraId="5CA7817C" w14:textId="526B19FB" w:rsidR="001B02D6" w:rsidRPr="00844775" w:rsidRDefault="001B02D6" w:rsidP="001B02D6">
      <w:pPr>
        <w:spacing w:before="120" w:after="120"/>
        <w:rPr>
          <w:b/>
          <w:bCs/>
        </w:rPr>
      </w:pPr>
      <w:r w:rsidRPr="00844775">
        <w:rPr>
          <w:b/>
          <w:bCs/>
        </w:rPr>
        <w:t xml:space="preserve">Observation </w:t>
      </w:r>
      <w:r>
        <w:rPr>
          <w:b/>
          <w:bCs/>
        </w:rPr>
        <w:t>4a</w:t>
      </w:r>
      <w:r w:rsidRPr="00844775">
        <w:rPr>
          <w:b/>
          <w:bCs/>
        </w:rPr>
        <w:t xml:space="preserve">: </w:t>
      </w:r>
      <w:r>
        <w:rPr>
          <w:b/>
          <w:bCs/>
        </w:rPr>
        <w:t>Using</w:t>
      </w:r>
      <w:r w:rsidRPr="001B02D6">
        <w:t xml:space="preserve"> </w:t>
      </w:r>
      <w:r w:rsidR="00733E21">
        <w:rPr>
          <w:b/>
          <w:bCs/>
        </w:rPr>
        <w:t>legacy</w:t>
      </w:r>
      <w:r w:rsidRPr="001B02D6">
        <w:rPr>
          <w:b/>
          <w:bCs/>
        </w:rPr>
        <w:t xml:space="preserve"> F1AP </w:t>
      </w:r>
      <w:r w:rsidR="00733E21">
        <w:rPr>
          <w:b/>
          <w:bCs/>
        </w:rPr>
        <w:t>procedures</w:t>
      </w:r>
      <w:r w:rsidRPr="001B02D6">
        <w:rPr>
          <w:b/>
          <w:bCs/>
        </w:rPr>
        <w:t xml:space="preserve"> </w:t>
      </w:r>
      <w:r>
        <w:rPr>
          <w:b/>
          <w:bCs/>
        </w:rPr>
        <w:t xml:space="preserve">for the triggering and outcome-reporting of DU migration </w:t>
      </w:r>
      <w:r w:rsidRPr="001B02D6">
        <w:rPr>
          <w:b/>
          <w:bCs/>
        </w:rPr>
        <w:t xml:space="preserve">has lower complexity than </w:t>
      </w:r>
      <w:r>
        <w:rPr>
          <w:b/>
          <w:bCs/>
        </w:rPr>
        <w:t>using</w:t>
      </w:r>
      <w:r w:rsidRPr="001B02D6">
        <w:rPr>
          <w:b/>
          <w:bCs/>
        </w:rPr>
        <w:t xml:space="preserve"> new </w:t>
      </w:r>
      <w:r>
        <w:rPr>
          <w:b/>
          <w:bCs/>
        </w:rPr>
        <w:t xml:space="preserve">F1AP </w:t>
      </w:r>
      <w:r w:rsidRPr="001B02D6">
        <w:rPr>
          <w:b/>
          <w:bCs/>
        </w:rPr>
        <w:t>procedures</w:t>
      </w:r>
      <w:r w:rsidRPr="00844775">
        <w:rPr>
          <w:b/>
          <w:bCs/>
        </w:rPr>
        <w:t>.</w:t>
      </w:r>
    </w:p>
    <w:p w14:paraId="49873E9C" w14:textId="6A53AA72" w:rsidR="00726793" w:rsidRDefault="001B02D6" w:rsidP="00726793">
      <w:pPr>
        <w:spacing w:before="120" w:after="120"/>
        <w:rPr>
          <w:b/>
          <w:bCs/>
        </w:rPr>
      </w:pPr>
      <w:r w:rsidRPr="001B02D6">
        <w:rPr>
          <w:b/>
          <w:bCs/>
        </w:rPr>
        <w:t>Proposal 4</w:t>
      </w:r>
      <w:r w:rsidR="00364BEB">
        <w:rPr>
          <w:b/>
          <w:bCs/>
        </w:rPr>
        <w:t>a</w:t>
      </w:r>
      <w:r w:rsidRPr="001B02D6">
        <w:rPr>
          <w:b/>
          <w:bCs/>
        </w:rPr>
        <w:t xml:space="preserve">: The </w:t>
      </w:r>
      <w:r>
        <w:rPr>
          <w:b/>
          <w:bCs/>
        </w:rPr>
        <w:t xml:space="preserve">triggering and outcome-reporting for DU migration </w:t>
      </w:r>
      <w:r w:rsidR="00364BEB">
        <w:rPr>
          <w:b/>
          <w:bCs/>
        </w:rPr>
        <w:t>should</w:t>
      </w:r>
      <w:r>
        <w:rPr>
          <w:b/>
          <w:bCs/>
        </w:rPr>
        <w:t xml:space="preserve"> use existing F1AP procedures. </w:t>
      </w:r>
    </w:p>
    <w:p w14:paraId="7741ADA1" w14:textId="77777777" w:rsidR="00364BEB" w:rsidRDefault="00364BEB" w:rsidP="00364BEB">
      <w:pPr>
        <w:spacing w:before="120" w:after="120"/>
      </w:pPr>
    </w:p>
    <w:p w14:paraId="2FE7B9DF" w14:textId="135677E1" w:rsidR="00364BEB" w:rsidRDefault="00364BEB" w:rsidP="00364BEB">
      <w:pPr>
        <w:spacing w:before="120" w:after="120"/>
      </w:pPr>
      <w:r>
        <w:t xml:space="preserve">On </w:t>
      </w:r>
      <w:r w:rsidRPr="00364BEB">
        <w:rPr>
          <w:highlight w:val="yellow"/>
        </w:rPr>
        <w:t>Issue 4</w:t>
      </w:r>
      <w:r w:rsidRPr="005218EB">
        <w:rPr>
          <w:highlight w:val="yellow"/>
        </w:rPr>
        <w:t>b</w:t>
      </w:r>
      <w:r>
        <w:t>, the following views were raised:</w:t>
      </w:r>
    </w:p>
    <w:p w14:paraId="509F882A" w14:textId="112ECB5D" w:rsidR="005218EB" w:rsidRDefault="005218EB" w:rsidP="005218EB">
      <w:pPr>
        <w:pStyle w:val="ListParagraph"/>
        <w:numPr>
          <w:ilvl w:val="0"/>
          <w:numId w:val="43"/>
        </w:numPr>
        <w:spacing w:before="120" w:after="120"/>
        <w:contextualSpacing w:val="0"/>
      </w:pPr>
      <w:r>
        <w:t>In case DU migration is triggered by the source logical DU’s CU, one common class-1 procedure can provide the trigger message for the F1 Setup and the return message with the outcome of F1 Setup.</w:t>
      </w:r>
    </w:p>
    <w:p w14:paraId="06D2E4B4" w14:textId="215BE068" w:rsidR="005218EB" w:rsidRDefault="005218EB" w:rsidP="005218EB">
      <w:pPr>
        <w:pStyle w:val="ListParagraph"/>
        <w:numPr>
          <w:ilvl w:val="0"/>
          <w:numId w:val="43"/>
        </w:numPr>
        <w:spacing w:before="120" w:after="120"/>
        <w:contextualSpacing w:val="0"/>
      </w:pPr>
      <w:r>
        <w:t xml:space="preserve">In case DU migration is triggered by the IAB-node’s OAM, a trigger message is not needed and therefore, a class-2 procedure would be sufficient for the report of the outcome of F1 Setup. </w:t>
      </w:r>
    </w:p>
    <w:p w14:paraId="0FE53946" w14:textId="724BEFC7" w:rsidR="00D70DCE" w:rsidRPr="00D70DCE" w:rsidRDefault="00D70DCE" w:rsidP="00364BEB">
      <w:pPr>
        <w:spacing w:before="120" w:after="120"/>
      </w:pPr>
      <w:r>
        <w:t>It would be desirable to have one common procedure for</w:t>
      </w:r>
      <w:r w:rsidRPr="00D70DCE">
        <w:t xml:space="preserve"> both alternatives</w:t>
      </w:r>
      <w:r>
        <w:t xml:space="preserve">. This implies that </w:t>
      </w:r>
      <w:r w:rsidRPr="00D70DCE">
        <w:t xml:space="preserve">one common procedure should be used to report the outcome </w:t>
      </w:r>
      <w:r>
        <w:t xml:space="preserve">of F1 Setup </w:t>
      </w:r>
      <w:r w:rsidRPr="00D70DCE">
        <w:t>to the source logical DU.</w:t>
      </w:r>
      <w:r>
        <w:t xml:space="preserve"> Consequently, a separate procedure should be used for the triggering of F1 Setup by the source logical DU’s CU.</w:t>
      </w:r>
      <w:r w:rsidRPr="00D70DCE">
        <w:t xml:space="preserve"> </w:t>
      </w:r>
    </w:p>
    <w:p w14:paraId="077C5FCD" w14:textId="1E3238FB" w:rsidR="00E040A2" w:rsidRPr="00D70DCE" w:rsidRDefault="00390A92" w:rsidP="00410E05">
      <w:pPr>
        <w:spacing w:before="120" w:after="120"/>
        <w:rPr>
          <w:b/>
          <w:bCs/>
        </w:rPr>
      </w:pPr>
      <w:r w:rsidRPr="00D70DCE">
        <w:rPr>
          <w:b/>
          <w:bCs/>
        </w:rPr>
        <w:t>Proposal 4</w:t>
      </w:r>
      <w:r w:rsidR="00410E05">
        <w:rPr>
          <w:b/>
          <w:bCs/>
        </w:rPr>
        <w:t>b</w:t>
      </w:r>
      <w:r w:rsidRPr="00D70DCE">
        <w:rPr>
          <w:b/>
          <w:bCs/>
        </w:rPr>
        <w:t>:</w:t>
      </w:r>
      <w:r w:rsidR="00D70DCE" w:rsidRPr="00D70DCE">
        <w:rPr>
          <w:b/>
          <w:bCs/>
        </w:rPr>
        <w:t xml:space="preserve"> </w:t>
      </w:r>
      <w:r w:rsidR="00410E05">
        <w:rPr>
          <w:b/>
          <w:bCs/>
        </w:rPr>
        <w:t>Separate procedures to be used for the triggering of F1 Setup and for the reporting of the outcome.</w:t>
      </w:r>
      <w:r w:rsidR="00E040A2">
        <w:rPr>
          <w:b/>
          <w:bCs/>
        </w:rPr>
        <w:t xml:space="preserve"> </w:t>
      </w:r>
    </w:p>
    <w:p w14:paraId="6FA6D605" w14:textId="77777777" w:rsidR="00364BEB" w:rsidRDefault="00364BEB" w:rsidP="00364BEB">
      <w:pPr>
        <w:spacing w:before="120" w:after="120"/>
      </w:pPr>
    </w:p>
    <w:p w14:paraId="40D7A8AF" w14:textId="7011E3B1" w:rsidR="0002050E" w:rsidRDefault="0002050E" w:rsidP="0002050E">
      <w:pPr>
        <w:pStyle w:val="Heading2"/>
        <w:rPr>
          <w:highlight w:val="yellow"/>
        </w:rPr>
      </w:pPr>
      <w:r>
        <w:rPr>
          <w:highlight w:val="yellow"/>
        </w:rPr>
        <w:t>Issue 5:</w:t>
      </w:r>
      <w:r w:rsidRPr="002335F9">
        <w:t xml:space="preserve"> </w:t>
      </w:r>
      <w:r w:rsidR="00AE5CAE">
        <w:t>M</w:t>
      </w:r>
      <w:r>
        <w:t xml:space="preserve">apping between cells on source- and target logical </w:t>
      </w:r>
      <w:proofErr w:type="gramStart"/>
      <w:r>
        <w:t>DUs</w:t>
      </w:r>
      <w:proofErr w:type="gramEnd"/>
    </w:p>
    <w:p w14:paraId="6457497D" w14:textId="090E7047" w:rsidR="00BA2F53" w:rsidRDefault="00BA2F53" w:rsidP="00726793">
      <w:pPr>
        <w:spacing w:before="120" w:after="120"/>
      </w:pPr>
      <w:r>
        <w:t>RAN3 agreed in R3#117bis</w:t>
      </w:r>
      <w:r w:rsidR="004C556D">
        <w:t>-</w:t>
      </w:r>
      <w:r>
        <w:t>e:</w:t>
      </w:r>
    </w:p>
    <w:tbl>
      <w:tblPr>
        <w:tblStyle w:val="TableGrid"/>
        <w:tblW w:w="0" w:type="auto"/>
        <w:tblLook w:val="04A0" w:firstRow="1" w:lastRow="0" w:firstColumn="1" w:lastColumn="0" w:noHBand="0" w:noVBand="1"/>
      </w:tblPr>
      <w:tblGrid>
        <w:gridCol w:w="9631"/>
      </w:tblGrid>
      <w:tr w:rsidR="00BA2F53" w14:paraId="35F37058" w14:textId="77777777" w:rsidTr="00BA2F53">
        <w:tc>
          <w:tcPr>
            <w:tcW w:w="9631" w:type="dxa"/>
          </w:tcPr>
          <w:p w14:paraId="5729A461" w14:textId="77777777" w:rsidR="00BA2F53" w:rsidRDefault="00BA2F53" w:rsidP="000A032A">
            <w:pPr>
              <w:widowControl w:val="0"/>
              <w:spacing w:before="120" w:after="120"/>
              <w:rPr>
                <w:rFonts w:ascii="Calibri" w:hAnsi="Calibri" w:cs="Calibri"/>
                <w:b/>
                <w:color w:val="008000"/>
                <w:sz w:val="18"/>
                <w:szCs w:val="18"/>
              </w:rPr>
            </w:pPr>
            <w:r>
              <w:rPr>
                <w:rFonts w:ascii="Calibri" w:hAnsi="Calibri" w:cs="Calibri"/>
                <w:b/>
                <w:color w:val="008000"/>
                <w:sz w:val="18"/>
                <w:szCs w:val="18"/>
              </w:rPr>
              <w:t xml:space="preserve">To hand over the UEs between the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-DUs, the source donor CU for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should be notified about the cell IDs served by the second (target)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w:t>
            </w:r>
          </w:p>
          <w:p w14:paraId="18FCD13A" w14:textId="1B8B1E11" w:rsidR="00BA2F53" w:rsidRPr="00BA2F53" w:rsidRDefault="00BA2F53" w:rsidP="000A032A">
            <w:pPr>
              <w:widowControl w:val="0"/>
              <w:spacing w:before="120" w:after="120"/>
              <w:rPr>
                <w:rFonts w:ascii="Calibri" w:hAnsi="Calibri" w:cs="Calibri"/>
                <w:b/>
                <w:color w:val="008000"/>
                <w:sz w:val="18"/>
                <w:szCs w:val="18"/>
              </w:rPr>
            </w:pPr>
            <w:r>
              <w:rPr>
                <w:rFonts w:ascii="Calibri" w:hAnsi="Calibri" w:cs="Calibri"/>
                <w:b/>
                <w:color w:val="008000"/>
                <w:sz w:val="18"/>
                <w:szCs w:val="18"/>
              </w:rPr>
              <w:t xml:space="preserve">The source donor CU for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should be informed that the second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 has successfully established an F1 connection towards the target CU. Details are FFS.</w:t>
            </w:r>
          </w:p>
        </w:tc>
      </w:tr>
    </w:tbl>
    <w:p w14:paraId="46E67EA1" w14:textId="49DFEDBA" w:rsidR="00BA2F53" w:rsidRDefault="00BA2F53" w:rsidP="00BA2F53">
      <w:pPr>
        <w:spacing w:before="120" w:after="120"/>
      </w:pPr>
      <w:r>
        <w:t xml:space="preserve"> In the last meeting, RAN3 made the following working assumption:</w:t>
      </w:r>
    </w:p>
    <w:tbl>
      <w:tblPr>
        <w:tblStyle w:val="TableGrid"/>
        <w:tblW w:w="0" w:type="auto"/>
        <w:tblLook w:val="04A0" w:firstRow="1" w:lastRow="0" w:firstColumn="1" w:lastColumn="0" w:noHBand="0" w:noVBand="1"/>
      </w:tblPr>
      <w:tblGrid>
        <w:gridCol w:w="9631"/>
      </w:tblGrid>
      <w:tr w:rsidR="00BA2F53" w14:paraId="4DA5DC8C" w14:textId="77777777" w:rsidTr="00E42EFA">
        <w:tc>
          <w:tcPr>
            <w:tcW w:w="9631" w:type="dxa"/>
          </w:tcPr>
          <w:p w14:paraId="1394C713" w14:textId="77777777" w:rsidR="00BA2F53" w:rsidRPr="0002050E" w:rsidRDefault="00BA2F53" w:rsidP="001B717B">
            <w:pPr>
              <w:spacing w:before="120" w:after="120"/>
              <w:rPr>
                <w:rFonts w:ascii="Calibri" w:hAnsi="Calibri" w:cs="Calibri"/>
                <w:b/>
                <w:bCs/>
                <w:color w:val="008000"/>
                <w:sz w:val="18"/>
              </w:rPr>
            </w:pPr>
            <w:r w:rsidRPr="0002050E">
              <w:rPr>
                <w:rFonts w:ascii="Calibri" w:hAnsi="Calibri" w:cs="Calibri"/>
                <w:b/>
                <w:bCs/>
                <w:color w:val="008000"/>
                <w:sz w:val="18"/>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02050E">
              <w:rPr>
                <w:rFonts w:ascii="Calibri" w:hAnsi="Calibri" w:cs="Calibri"/>
                <w:b/>
                <w:bCs/>
                <w:color w:val="008000"/>
                <w:sz w:val="18"/>
              </w:rPr>
              <w:br/>
              <w:t xml:space="preserve">This agreement does not relate to the configuration sharing between two logical collocated </w:t>
            </w:r>
            <w:proofErr w:type="spellStart"/>
            <w:r w:rsidRPr="0002050E">
              <w:rPr>
                <w:rFonts w:ascii="Calibri" w:hAnsi="Calibri" w:cs="Calibri"/>
                <w:b/>
                <w:bCs/>
                <w:color w:val="008000"/>
                <w:sz w:val="18"/>
              </w:rPr>
              <w:t>mIAB</w:t>
            </w:r>
            <w:proofErr w:type="spellEnd"/>
            <w:r w:rsidRPr="0002050E">
              <w:rPr>
                <w:rFonts w:ascii="Calibri" w:hAnsi="Calibri" w:cs="Calibri"/>
                <w:b/>
                <w:bCs/>
                <w:color w:val="008000"/>
                <w:sz w:val="18"/>
              </w:rPr>
              <w:t>-DUs</w:t>
            </w:r>
          </w:p>
        </w:tc>
      </w:tr>
    </w:tbl>
    <w:p w14:paraId="04BDB8C9" w14:textId="721B08E3" w:rsidR="00CB2163" w:rsidRDefault="00BA2F53" w:rsidP="00726793">
      <w:pPr>
        <w:spacing w:before="120" w:after="120"/>
      </w:pPr>
      <w:r>
        <w:t xml:space="preserve">RAN3 further discussed if this WA has implications on UE measurement reports </w:t>
      </w:r>
      <w:r w:rsidR="00405547">
        <w:t>to</w:t>
      </w:r>
      <w:r>
        <w:t xml:space="preserve"> </w:t>
      </w:r>
      <w:r w:rsidR="004C556D">
        <w:t>be used for</w:t>
      </w:r>
      <w:r>
        <w:t xml:space="preserve"> UE handover between the logical DUs. Obviously, </w:t>
      </w:r>
      <w:r w:rsidR="004C556D">
        <w:t xml:space="preserve">the use of measurement reports for </w:t>
      </w:r>
      <w:r>
        <w:t xml:space="preserve">UE handover is supported. </w:t>
      </w:r>
    </w:p>
    <w:p w14:paraId="190FCE62" w14:textId="77777777" w:rsidR="00BC7E2F" w:rsidRDefault="00BC7E2F" w:rsidP="00BC7E2F">
      <w:pPr>
        <w:spacing w:before="120" w:after="120"/>
        <w:rPr>
          <w:b/>
          <w:bCs/>
        </w:rPr>
      </w:pPr>
      <w:r w:rsidRPr="00CB2163">
        <w:rPr>
          <w:b/>
          <w:bCs/>
        </w:rPr>
        <w:t xml:space="preserve">Observation 5a: UE handover between logical DUs on the IAB-node can be based on </w:t>
      </w:r>
      <w:r>
        <w:rPr>
          <w:b/>
          <w:bCs/>
        </w:rPr>
        <w:t xml:space="preserve">UE </w:t>
      </w:r>
      <w:r w:rsidRPr="00CB2163">
        <w:rPr>
          <w:b/>
          <w:bCs/>
        </w:rPr>
        <w:t>measurement reports.</w:t>
      </w:r>
      <w:r>
        <w:rPr>
          <w:b/>
          <w:bCs/>
        </w:rPr>
        <w:t xml:space="preserve"> </w:t>
      </w:r>
    </w:p>
    <w:p w14:paraId="4BC766AC" w14:textId="2C577157" w:rsidR="00BA2F53" w:rsidRDefault="002A36DB" w:rsidP="00726793">
      <w:pPr>
        <w:spacing w:before="120" w:after="120"/>
      </w:pPr>
      <w:r>
        <w:t>In</w:t>
      </w:r>
      <w:r w:rsidR="00BA2F53">
        <w:t xml:space="preserve"> case measurement reports are used </w:t>
      </w:r>
      <w:r>
        <w:t>for</w:t>
      </w:r>
      <w:r w:rsidR="00BA2F53">
        <w:t xml:space="preserve"> </w:t>
      </w:r>
      <w:r>
        <w:t xml:space="preserve">UE </w:t>
      </w:r>
      <w:r w:rsidR="00BA2F53">
        <w:t xml:space="preserve">handover between the logical DUs, there </w:t>
      </w:r>
      <w:r w:rsidR="00CB2163">
        <w:t>is</w:t>
      </w:r>
      <w:r w:rsidR="00BA2F53">
        <w:t xml:space="preserve"> no need to notify the UE’s source CU about the cell IDs served by the target logical </w:t>
      </w:r>
      <w:proofErr w:type="spellStart"/>
      <w:r w:rsidR="00BA2F53">
        <w:t>mIAB</w:t>
      </w:r>
      <w:proofErr w:type="spellEnd"/>
      <w:r w:rsidR="00BA2F53">
        <w:t>-DU since the measurement report</w:t>
      </w:r>
      <w:r w:rsidR="00DD575A">
        <w:t>s themselves contain</w:t>
      </w:r>
      <w:r w:rsidR="00BA2F53">
        <w:t xml:space="preserve"> the cell IDs of the candidate target cells.</w:t>
      </w:r>
    </w:p>
    <w:p w14:paraId="40108DA0" w14:textId="54E1D46E" w:rsidR="00C27478" w:rsidRDefault="00CB2163" w:rsidP="00726793">
      <w:pPr>
        <w:spacing w:before="120" w:after="120"/>
      </w:pPr>
      <w:r>
        <w:t xml:space="preserve">Notifying the source CU about the activated target cells has the benefit that the source CU can conduct the UE handover </w:t>
      </w:r>
      <w:r w:rsidRPr="00BC7E2F">
        <w:rPr>
          <w:i/>
          <w:iCs/>
        </w:rPr>
        <w:t>without</w:t>
      </w:r>
      <w:r>
        <w:t xml:space="preserve"> the UE measurement reports. </w:t>
      </w:r>
      <w:r w:rsidR="00405547">
        <w:t xml:space="preserve">It further </w:t>
      </w:r>
      <w:r w:rsidR="00BC7E2F">
        <w:t xml:space="preserve">allows the source CU to </w:t>
      </w:r>
      <w:r w:rsidR="00405547">
        <w:t xml:space="preserve">ensure that the UEs are handed over to the </w:t>
      </w:r>
      <w:r w:rsidR="00405547" w:rsidRPr="00BC7E2F">
        <w:rPr>
          <w:i/>
          <w:iCs/>
        </w:rPr>
        <w:t>target logical DU onboard the vehicle</w:t>
      </w:r>
      <w:r w:rsidR="00405547">
        <w:t xml:space="preserve"> and not to a</w:t>
      </w:r>
      <w:r w:rsidR="00BC7E2F">
        <w:t>nother</w:t>
      </w:r>
      <w:r w:rsidR="00405547">
        <w:t xml:space="preserve"> DU on the surrounding network. </w:t>
      </w:r>
      <w:r w:rsidR="00BC7E2F">
        <w:t>P</w:t>
      </w:r>
      <w:r w:rsidR="00405547">
        <w:t xml:space="preserve">erforming UE handover </w:t>
      </w:r>
      <w:r w:rsidR="00405547" w:rsidRPr="00BC7E2F">
        <w:rPr>
          <w:i/>
          <w:iCs/>
        </w:rPr>
        <w:t>without</w:t>
      </w:r>
      <w:r w:rsidR="00405547">
        <w:t xml:space="preserve"> measurement reports does n</w:t>
      </w:r>
      <w:r>
        <w:t>ot preclude the UE from measuring and synchronizing to the target cell</w:t>
      </w:r>
      <w:r w:rsidR="00BC7E2F">
        <w:t xml:space="preserve"> during handover execution. This</w:t>
      </w:r>
      <w:r>
        <w:t xml:space="preserve"> implies that the target cell has been activated for sufficient time prior to the handover command.</w:t>
      </w:r>
    </w:p>
    <w:p w14:paraId="0FCE4CB7" w14:textId="77777777" w:rsidR="00813F30" w:rsidRPr="001A7AF9" w:rsidRDefault="00813F30" w:rsidP="00813F30">
      <w:pPr>
        <w:spacing w:before="120" w:after="240"/>
        <w:rPr>
          <w:b/>
          <w:bCs/>
        </w:rPr>
      </w:pPr>
      <w:r>
        <w:rPr>
          <w:b/>
          <w:bCs/>
        </w:rPr>
        <w:t>Observation 5b: When n</w:t>
      </w:r>
      <w:r w:rsidRPr="001A7AF9">
        <w:rPr>
          <w:b/>
          <w:bCs/>
        </w:rPr>
        <w:t>otifying the source CU about the activated target cells</w:t>
      </w:r>
      <w:r>
        <w:rPr>
          <w:b/>
          <w:bCs/>
        </w:rPr>
        <w:t xml:space="preserve">, the CU can initiate UE handover </w:t>
      </w:r>
      <w:r w:rsidRPr="00813F30">
        <w:rPr>
          <w:b/>
          <w:bCs/>
          <w:u w:val="single"/>
        </w:rPr>
        <w:t>without</w:t>
      </w:r>
      <w:r>
        <w:rPr>
          <w:b/>
          <w:bCs/>
        </w:rPr>
        <w:t xml:space="preserve"> waiting for measurement reports, and it is certain that the selected target cell belongs to the onboard target logical DU.</w:t>
      </w:r>
    </w:p>
    <w:p w14:paraId="03A42025" w14:textId="3B2B63F9" w:rsidR="00F116CA" w:rsidRDefault="00F116CA" w:rsidP="00726793">
      <w:pPr>
        <w:spacing w:before="120" w:after="120"/>
      </w:pPr>
      <w:r>
        <w:t>The mapping between source and target cells aims to assist the source CU in handover decisions. The following scenarios may be considered:</w:t>
      </w:r>
    </w:p>
    <w:p w14:paraId="0787A60F" w14:textId="2687BCDA" w:rsidR="00C27478" w:rsidRDefault="00F116CA" w:rsidP="00F116CA">
      <w:pPr>
        <w:spacing w:before="120" w:after="120"/>
      </w:pPr>
      <w:r w:rsidRPr="00F116CA">
        <w:rPr>
          <w:b/>
          <w:bCs/>
        </w:rPr>
        <w:t>Scenario 1:</w:t>
      </w:r>
      <w:r>
        <w:t xml:space="preserve"> E</w:t>
      </w:r>
      <w:r w:rsidR="002F07C2">
        <w:t>ach logical DU has multiple cells with different frequencies</w:t>
      </w:r>
      <w:r>
        <w:t>, where a</w:t>
      </w:r>
      <w:r w:rsidR="002F07C2">
        <w:t xml:space="preserve">ny of these cells can be used as </w:t>
      </w:r>
      <w:proofErr w:type="spellStart"/>
      <w:r w:rsidR="002F07C2">
        <w:t>Spcell</w:t>
      </w:r>
      <w:proofErr w:type="spellEnd"/>
      <w:r w:rsidR="002F07C2">
        <w:t xml:space="preserve">. </w:t>
      </w:r>
      <w:r>
        <w:t>In this case, t</w:t>
      </w:r>
      <w:r w:rsidR="002F07C2">
        <w:t xml:space="preserve">he mapping </w:t>
      </w:r>
      <w:r>
        <w:t>should</w:t>
      </w:r>
      <w:r w:rsidR="002F07C2">
        <w:t xml:space="preserve"> be based on frequency so that </w:t>
      </w:r>
      <w:r>
        <w:t>only UE-handover occurs intra-frequency</w:t>
      </w:r>
      <w:r w:rsidR="002F07C2">
        <w:t>.</w:t>
      </w:r>
    </w:p>
    <w:p w14:paraId="4816FE4A" w14:textId="77777777" w:rsidR="00F116CA" w:rsidRDefault="00F116CA" w:rsidP="00F116CA">
      <w:pPr>
        <w:spacing w:before="120" w:after="120"/>
      </w:pPr>
      <w:r w:rsidRPr="00F116CA">
        <w:rPr>
          <w:b/>
          <w:bCs/>
        </w:rPr>
        <w:lastRenderedPageBreak/>
        <w:t>Scenario 2:</w:t>
      </w:r>
      <w:r>
        <w:t xml:space="preserve"> </w:t>
      </w:r>
      <w:r w:rsidR="00D24D27">
        <w:t>Each logical DU has multiple cells with same frequency but different spatial coverage</w:t>
      </w:r>
      <w:r>
        <w:t xml:space="preserve"> (e.g., sectorized DU)</w:t>
      </w:r>
      <w:r w:rsidR="00D24D27">
        <w:t xml:space="preserve">. </w:t>
      </w:r>
      <w:r>
        <w:t>In this case, the mapping should be based on the cells’ spatial coverage area.</w:t>
      </w:r>
    </w:p>
    <w:p w14:paraId="17A98E63" w14:textId="43D5B1FF" w:rsidR="00726793" w:rsidRDefault="00F116CA" w:rsidP="00726793">
      <w:pPr>
        <w:spacing w:before="120" w:after="120"/>
      </w:pPr>
      <w:r>
        <w:t xml:space="preserve">In case source DU cells use different frequencies than the target DU cells while the </w:t>
      </w:r>
      <w:r w:rsidR="002245F5">
        <w:t xml:space="preserve">cells’ </w:t>
      </w:r>
      <w:r>
        <w:t>spatial coverage area is the same, such mapping information</w:t>
      </w:r>
      <w:r w:rsidR="002245F5">
        <w:t xml:space="preserve"> may not be needed</w:t>
      </w:r>
      <w:r>
        <w:t>.</w:t>
      </w:r>
    </w:p>
    <w:p w14:paraId="470B25E0" w14:textId="420D0971" w:rsidR="00F116CA" w:rsidRPr="001A7AF9" w:rsidRDefault="00F116CA" w:rsidP="00F116CA">
      <w:pPr>
        <w:spacing w:before="120" w:after="120"/>
        <w:rPr>
          <w:b/>
          <w:bCs/>
        </w:rPr>
      </w:pPr>
      <w:r>
        <w:rPr>
          <w:b/>
          <w:bCs/>
        </w:rPr>
        <w:t xml:space="preserve">Observation 5c: The mapping information of source-to-target cells can assist the source CU in handover decisions, e.g., to ensure that handover occurs intra-frequency </w:t>
      </w:r>
      <w:r w:rsidR="00A75C45">
        <w:rPr>
          <w:b/>
          <w:bCs/>
        </w:rPr>
        <w:t>and/</w:t>
      </w:r>
      <w:r>
        <w:rPr>
          <w:b/>
          <w:bCs/>
        </w:rPr>
        <w:t>or between cells with same coverage footprint.</w:t>
      </w:r>
    </w:p>
    <w:p w14:paraId="5EC839E4" w14:textId="63D02307" w:rsidR="00726793" w:rsidRDefault="00F116CA" w:rsidP="00726793">
      <w:pPr>
        <w:spacing w:before="120" w:after="120"/>
      </w:pPr>
      <w:r>
        <w:t>Based on these observations, the WA should be agreed.</w:t>
      </w:r>
    </w:p>
    <w:p w14:paraId="25B754E7" w14:textId="79E1CA87" w:rsidR="00F116CA" w:rsidRPr="00F116CA" w:rsidRDefault="00F116CA" w:rsidP="00726793">
      <w:pPr>
        <w:spacing w:before="120" w:after="120"/>
        <w:rPr>
          <w:b/>
          <w:bCs/>
        </w:rPr>
      </w:pPr>
      <w:r w:rsidRPr="00F116CA">
        <w:rPr>
          <w:b/>
          <w:bCs/>
        </w:rPr>
        <w:t>Proposal 5</w:t>
      </w:r>
      <w:r w:rsidR="002245F5">
        <w:rPr>
          <w:b/>
          <w:bCs/>
        </w:rPr>
        <w:t>a</w:t>
      </w:r>
      <w:r w:rsidRPr="00F116CA">
        <w:rPr>
          <w:b/>
          <w:bCs/>
        </w:rPr>
        <w:t xml:space="preserve">: Agree to WA: “As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F116CA">
        <w:rPr>
          <w:b/>
          <w:bCs/>
        </w:rPr>
        <w:t>mIAB</w:t>
      </w:r>
      <w:proofErr w:type="spellEnd"/>
      <w:r w:rsidRPr="00F116CA">
        <w:rPr>
          <w:b/>
          <w:bCs/>
        </w:rPr>
        <w:t>-DUs.”</w:t>
      </w:r>
    </w:p>
    <w:p w14:paraId="4261B612" w14:textId="3486F8C0" w:rsidR="00726793" w:rsidRDefault="002245F5" w:rsidP="00726793">
      <w:pPr>
        <w:spacing w:before="120" w:after="120"/>
      </w:pPr>
      <w:r>
        <w:t xml:space="preserve">Further, an LS should be sent to RAN2 including RAN3’s understanding of the use cases for this mapping information. </w:t>
      </w:r>
    </w:p>
    <w:p w14:paraId="7325D857" w14:textId="6644D106" w:rsidR="002245F5" w:rsidRPr="00F116CA" w:rsidRDefault="002245F5" w:rsidP="002245F5">
      <w:pPr>
        <w:spacing w:before="120" w:after="120"/>
        <w:rPr>
          <w:b/>
          <w:bCs/>
        </w:rPr>
      </w:pPr>
      <w:r w:rsidRPr="00F116CA">
        <w:rPr>
          <w:b/>
          <w:bCs/>
        </w:rPr>
        <w:t>Proposal 5</w:t>
      </w:r>
      <w:r>
        <w:rPr>
          <w:b/>
          <w:bCs/>
        </w:rPr>
        <w:t>b</w:t>
      </w:r>
      <w:r w:rsidRPr="00F116CA">
        <w:rPr>
          <w:b/>
          <w:bCs/>
        </w:rPr>
        <w:t xml:space="preserve">: </w:t>
      </w:r>
      <w:r>
        <w:rPr>
          <w:b/>
          <w:bCs/>
        </w:rPr>
        <w:t>Send LS to RAN2 including RAN3’s understanding of the use of this mapping information and ask RAN2 for feedback if any.</w:t>
      </w:r>
    </w:p>
    <w:p w14:paraId="6FADA1D2" w14:textId="77777777" w:rsidR="002245F5" w:rsidRDefault="002245F5" w:rsidP="00726793">
      <w:pPr>
        <w:spacing w:before="120" w:after="120"/>
      </w:pPr>
    </w:p>
    <w:p w14:paraId="7B3A5CD9" w14:textId="1B893DC8" w:rsidR="00912EC9" w:rsidRDefault="00912EC9" w:rsidP="00912EC9">
      <w:pPr>
        <w:pStyle w:val="Heading2"/>
      </w:pPr>
      <w:r>
        <w:rPr>
          <w:highlight w:val="yellow"/>
        </w:rPr>
        <w:t>Issue 6:</w:t>
      </w:r>
      <w:r w:rsidRPr="002335F9">
        <w:t xml:space="preserve"> </w:t>
      </w:r>
      <w:r>
        <w:t xml:space="preserve">Information </w:t>
      </w:r>
      <w:r w:rsidR="00CD6301">
        <w:t xml:space="preserve">exchange related to </w:t>
      </w:r>
      <w:proofErr w:type="spellStart"/>
      <w:r>
        <w:t>mIAB</w:t>
      </w:r>
      <w:proofErr w:type="spellEnd"/>
      <w:r>
        <w:t>-</w:t>
      </w:r>
      <w:r w:rsidR="00CD6301">
        <w:t xml:space="preserve">node </w:t>
      </w:r>
      <w:proofErr w:type="gramStart"/>
      <w:r w:rsidR="00CD6301">
        <w:t>indication</w:t>
      </w:r>
      <w:proofErr w:type="gramEnd"/>
      <w:r>
        <w:t xml:space="preserve"> </w:t>
      </w:r>
    </w:p>
    <w:p w14:paraId="0B60A6BB" w14:textId="268BEC01" w:rsidR="00904FEE" w:rsidRDefault="00CD6301" w:rsidP="000537FD">
      <w:r>
        <w:t xml:space="preserve">On </w:t>
      </w:r>
      <w:proofErr w:type="spellStart"/>
      <w:r>
        <w:t>mIAB</w:t>
      </w:r>
      <w:proofErr w:type="spellEnd"/>
      <w:r>
        <w:t xml:space="preserve">-node indication, </w:t>
      </w:r>
      <w:r w:rsidR="00904FEE">
        <w:t>SA2 capture</w:t>
      </w:r>
      <w:r w:rsidR="00F5657D">
        <w:t>d</w:t>
      </w:r>
      <w:r w:rsidR="00904FEE">
        <w:t xml:space="preserve"> in TS 23.501, clause 5.35A.1:</w:t>
      </w:r>
    </w:p>
    <w:tbl>
      <w:tblPr>
        <w:tblStyle w:val="TableGrid"/>
        <w:tblW w:w="0" w:type="auto"/>
        <w:tblInd w:w="85" w:type="dxa"/>
        <w:tblLook w:val="04A0" w:firstRow="1" w:lastRow="0" w:firstColumn="1" w:lastColumn="0" w:noHBand="0" w:noVBand="1"/>
      </w:tblPr>
      <w:tblGrid>
        <w:gridCol w:w="9360"/>
      </w:tblGrid>
      <w:tr w:rsidR="00904FEE" w14:paraId="00C68E26" w14:textId="77777777" w:rsidTr="00F5657D">
        <w:tc>
          <w:tcPr>
            <w:tcW w:w="9360" w:type="dxa"/>
          </w:tcPr>
          <w:p w14:paraId="5C47F788" w14:textId="77777777" w:rsidR="00904FEE" w:rsidRPr="00F5657D" w:rsidRDefault="00904FEE" w:rsidP="00F5657D">
            <w:pPr>
              <w:spacing w:before="120" w:after="120"/>
              <w:rPr>
                <w:sz w:val="18"/>
                <w:szCs w:val="18"/>
              </w:rPr>
            </w:pPr>
            <w:r w:rsidRPr="00F5657D">
              <w:rPr>
                <w:sz w:val="18"/>
                <w:szCs w:val="18"/>
              </w:rPr>
              <w:t xml:space="preserve">For a MBSR node to operate as a MBSR, it provides a mobile IAB-indication to the IAB-donor-CU when the RRC connection is established as defined in TS 38.331 [28]. </w:t>
            </w:r>
            <w:r w:rsidRPr="00CD6301">
              <w:rPr>
                <w:sz w:val="18"/>
                <w:szCs w:val="18"/>
              </w:rPr>
              <w:t xml:space="preserve">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 If the MBSR node does not operate as a MBSR, </w:t>
            </w:r>
            <w:proofErr w:type="gramStart"/>
            <w:r w:rsidRPr="00CD6301">
              <w:rPr>
                <w:sz w:val="18"/>
                <w:szCs w:val="18"/>
              </w:rPr>
              <w:t>e.g.</w:t>
            </w:r>
            <w:proofErr w:type="gramEnd"/>
            <w:r w:rsidRPr="00CD6301">
              <w:rPr>
                <w:sz w:val="18"/>
                <w:szCs w:val="18"/>
              </w:rPr>
              <w:t xml:space="preserve"> due to the MBSR authorization indication from AMF, it does not provide the indication when establishing new RRC connection.</w:t>
            </w:r>
          </w:p>
          <w:p w14:paraId="08996BBB" w14:textId="4FF0114B" w:rsidR="00904FEE" w:rsidRDefault="00904FEE" w:rsidP="00F5657D">
            <w:pPr>
              <w:spacing w:before="120" w:after="120"/>
            </w:pPr>
            <w:r w:rsidRPr="00F5657D">
              <w:rPr>
                <w:color w:val="FF0000"/>
                <w:sz w:val="18"/>
                <w:szCs w:val="18"/>
              </w:rPr>
              <w:t>Editor's note:</w:t>
            </w:r>
            <w:r w:rsidRPr="00F5657D">
              <w:rPr>
                <w:color w:val="FF0000"/>
                <w:sz w:val="18"/>
                <w:szCs w:val="18"/>
              </w:rPr>
              <w:tab/>
              <w:t>The detailed handling between NAS and AS needs further synch with RAN WGs</w:t>
            </w:r>
          </w:p>
        </w:tc>
      </w:tr>
    </w:tbl>
    <w:p w14:paraId="6B9F71E5" w14:textId="7C0EB823" w:rsidR="00CD6301" w:rsidRDefault="00CD6301" w:rsidP="00515DD8">
      <w:pPr>
        <w:spacing w:before="120" w:after="120"/>
      </w:pPr>
      <w:r>
        <w:t>The following issues need to be addressed:</w:t>
      </w:r>
    </w:p>
    <w:p w14:paraId="3085687C" w14:textId="75AE5A61" w:rsidR="00CD6301" w:rsidRDefault="00CD6301" w:rsidP="00CD6301">
      <w:pPr>
        <w:pStyle w:val="ListParagraph"/>
        <w:numPr>
          <w:ilvl w:val="0"/>
          <w:numId w:val="43"/>
        </w:numPr>
        <w:spacing w:before="120" w:after="120"/>
        <w:contextualSpacing w:val="0"/>
      </w:pPr>
      <w:r w:rsidRPr="00CD6301">
        <w:rPr>
          <w:b/>
          <w:bCs/>
          <w:highlight w:val="yellow"/>
        </w:rPr>
        <w:t>Issue 6a</w:t>
      </w:r>
      <w:r>
        <w:t xml:space="preserve">: </w:t>
      </w:r>
      <w:r w:rsidR="00B347FD">
        <w:t>Whether to pass the</w:t>
      </w:r>
      <w:r>
        <w:t xml:space="preserve"> mobile IAB-node indicator in NGAP Initial UE message.</w:t>
      </w:r>
    </w:p>
    <w:p w14:paraId="73EDE9CA" w14:textId="150C6670" w:rsidR="00CD6301" w:rsidRDefault="00CD6301" w:rsidP="00CD6301">
      <w:pPr>
        <w:pStyle w:val="ListParagraph"/>
        <w:numPr>
          <w:ilvl w:val="0"/>
          <w:numId w:val="43"/>
        </w:numPr>
        <w:spacing w:before="120" w:after="120"/>
        <w:contextualSpacing w:val="0"/>
      </w:pPr>
      <w:r w:rsidRPr="00CD6301">
        <w:rPr>
          <w:b/>
          <w:bCs/>
          <w:highlight w:val="yellow"/>
        </w:rPr>
        <w:t>Issue 6b</w:t>
      </w:r>
      <w:r>
        <w:t xml:space="preserve">: </w:t>
      </w:r>
      <w:r w:rsidR="00B347FD">
        <w:t>Whether to pass the</w:t>
      </w:r>
      <w:r>
        <w:t xml:space="preserve"> mobile IAB-node indicator to target CU during MT migration</w:t>
      </w:r>
      <w:r w:rsidR="00B347FD">
        <w:t>.</w:t>
      </w:r>
    </w:p>
    <w:p w14:paraId="05FAA889" w14:textId="2DE0BF41" w:rsidR="00CD6301" w:rsidRDefault="00CD6301" w:rsidP="00CD6301">
      <w:r>
        <w:t xml:space="preserve">On </w:t>
      </w:r>
      <w:r w:rsidRPr="00CD6301">
        <w:rPr>
          <w:highlight w:val="yellow"/>
        </w:rPr>
        <w:t>Issue 6a</w:t>
      </w:r>
      <w:r>
        <w:t xml:space="preserve">: Based on SA2’s decision, RAN3 should either include the mobile-IAB-indication in the NGAP Initial UE message or send specific reasons to SA2 why this indication would not be necessary. </w:t>
      </w:r>
    </w:p>
    <w:p w14:paraId="7C203A7A" w14:textId="4016673C" w:rsidR="00CD6301" w:rsidRPr="00CD6301" w:rsidRDefault="00CD6301" w:rsidP="00CD6301">
      <w:pPr>
        <w:spacing w:before="120" w:after="120"/>
        <w:rPr>
          <w:b/>
          <w:bCs/>
        </w:rPr>
      </w:pPr>
      <w:r w:rsidRPr="00CD6301">
        <w:rPr>
          <w:b/>
          <w:bCs/>
        </w:rPr>
        <w:t>Proposal 6</w:t>
      </w:r>
      <w:r>
        <w:rPr>
          <w:b/>
          <w:bCs/>
        </w:rPr>
        <w:t>a</w:t>
      </w:r>
      <w:r w:rsidRPr="00CD6301">
        <w:rPr>
          <w:b/>
          <w:bCs/>
        </w:rPr>
        <w:t xml:space="preserve">: RAN3 to either include the mobile-IAB-node indication into the NGAP Initial UE message or send an LS to SA2 with specific reasons why this indication would not be necessary. </w:t>
      </w:r>
    </w:p>
    <w:p w14:paraId="37C277A2" w14:textId="0FF6F9F8" w:rsidR="00CD6301" w:rsidRDefault="00CD6301" w:rsidP="00CD6301">
      <w:pPr>
        <w:spacing w:before="120" w:after="120"/>
      </w:pPr>
      <w:r>
        <w:t xml:space="preserve">On </w:t>
      </w:r>
      <w:r w:rsidRPr="00CD6301">
        <w:rPr>
          <w:highlight w:val="yellow"/>
        </w:rPr>
        <w:t>Issue 6b</w:t>
      </w:r>
      <w:r>
        <w:t xml:space="preserve">: </w:t>
      </w:r>
      <w:r w:rsidR="00515DD8">
        <w:t xml:space="preserve">RAN2 </w:t>
      </w:r>
      <w:r>
        <w:t xml:space="preserve">initially </w:t>
      </w:r>
      <w:r w:rsidR="00515DD8">
        <w:t xml:space="preserve">agreed that an </w:t>
      </w:r>
      <w:proofErr w:type="spellStart"/>
      <w:r w:rsidR="00515DD8">
        <w:t>mIAB</w:t>
      </w:r>
      <w:proofErr w:type="spellEnd"/>
      <w:r w:rsidR="00515DD8">
        <w:t xml:space="preserve">-node indicator </w:t>
      </w:r>
      <w:r>
        <w:t>is</w:t>
      </w:r>
      <w:r w:rsidR="00515DD8">
        <w:t xml:space="preserve"> included in </w:t>
      </w:r>
      <w:r>
        <w:t xml:space="preserve">the </w:t>
      </w:r>
      <w:proofErr w:type="spellStart"/>
      <w:r>
        <w:t>mIAB</w:t>
      </w:r>
      <w:proofErr w:type="spellEnd"/>
      <w:r>
        <w:t xml:space="preserve">-MT’s </w:t>
      </w:r>
      <w:r w:rsidR="00515DD8">
        <w:t xml:space="preserve">UE capabilities so that the CU can provide </w:t>
      </w:r>
      <w:proofErr w:type="spellStart"/>
      <w:r w:rsidR="00515DD8">
        <w:t>mIAB</w:t>
      </w:r>
      <w:proofErr w:type="spellEnd"/>
      <w:r w:rsidR="00515DD8">
        <w:t xml:space="preserve"> support</w:t>
      </w:r>
      <w:r w:rsidR="00A85658">
        <w:t xml:space="preserve"> for the </w:t>
      </w:r>
      <w:proofErr w:type="spellStart"/>
      <w:r w:rsidR="00A85658">
        <w:t>mIAB</w:t>
      </w:r>
      <w:proofErr w:type="spellEnd"/>
      <w:r w:rsidR="00A85658">
        <w:t>-node</w:t>
      </w:r>
      <w:r w:rsidR="00515DD8">
        <w:t>.</w:t>
      </w:r>
      <w:r>
        <w:t xml:space="preserve"> </w:t>
      </w:r>
      <w:r w:rsidR="00A85658">
        <w:t xml:space="preserve">During MT handover, </w:t>
      </w:r>
      <w:r>
        <w:t xml:space="preserve">the </w:t>
      </w:r>
      <w:r w:rsidR="00A85658">
        <w:t xml:space="preserve">MT’s </w:t>
      </w:r>
      <w:r>
        <w:t>UE capabilities are passed to</w:t>
      </w:r>
      <w:r w:rsidR="00A85658">
        <w:t xml:space="preserve"> the</w:t>
      </w:r>
      <w:r>
        <w:t xml:space="preserve"> target CU</w:t>
      </w:r>
      <w:r w:rsidR="00A85658">
        <w:t xml:space="preserve">. This implies that no explicit indicator is needed in the Handover Request message for the </w:t>
      </w:r>
      <w:proofErr w:type="spellStart"/>
      <w:r w:rsidR="00A85658">
        <w:t>mIAB</w:t>
      </w:r>
      <w:proofErr w:type="spellEnd"/>
      <w:r w:rsidR="00A85658">
        <w:t>-MT.</w:t>
      </w:r>
      <w:r w:rsidR="00515DD8">
        <w:t xml:space="preserve"> </w:t>
      </w:r>
    </w:p>
    <w:p w14:paraId="5ABD01DD" w14:textId="4C31DC5D" w:rsidR="00515DD8" w:rsidRDefault="00A85658" w:rsidP="00CD6301">
      <w:pPr>
        <w:spacing w:before="120" w:after="120"/>
      </w:pPr>
      <w:r>
        <w:t xml:space="preserve">With </w:t>
      </w:r>
      <w:proofErr w:type="spellStart"/>
      <w:r>
        <w:t>mIAB</w:t>
      </w:r>
      <w:proofErr w:type="spellEnd"/>
      <w:r>
        <w:t xml:space="preserve">-node indicator in Msg.5., there is no need for an additional </w:t>
      </w:r>
      <w:proofErr w:type="spellStart"/>
      <w:r>
        <w:t>mIAB</w:t>
      </w:r>
      <w:proofErr w:type="spellEnd"/>
      <w:r>
        <w:t xml:space="preserve">-node indicator in UE capabilities. However, if the </w:t>
      </w:r>
      <w:proofErr w:type="spellStart"/>
      <w:r>
        <w:t>mIAB</w:t>
      </w:r>
      <w:proofErr w:type="spellEnd"/>
      <w:r>
        <w:t>-node indicator is removed from UE capabilities, it needs to be explicitly included into the HO Request message.</w:t>
      </w:r>
      <w:r w:rsidR="00515DD8">
        <w:t xml:space="preserve"> RAN3 may </w:t>
      </w:r>
      <w:r>
        <w:t>want to liaise RAN2 on this matter and ask</w:t>
      </w:r>
      <w:r w:rsidR="00515DD8">
        <w:t xml:space="preserve"> if </w:t>
      </w:r>
      <w:r>
        <w:t>RAN2’s intention is to keep the mobile IAB-node indicator in UE capabilities.</w:t>
      </w:r>
      <w:r w:rsidR="00515DD8">
        <w:t xml:space="preserve"> </w:t>
      </w:r>
    </w:p>
    <w:p w14:paraId="571EB99F" w14:textId="4D84FD77" w:rsidR="00515DD8" w:rsidRDefault="00515DD8" w:rsidP="00515DD8">
      <w:pPr>
        <w:spacing w:before="120" w:after="120"/>
        <w:rPr>
          <w:b/>
          <w:bCs/>
        </w:rPr>
      </w:pPr>
      <w:r w:rsidRPr="00672024">
        <w:rPr>
          <w:b/>
          <w:bCs/>
        </w:rPr>
        <w:t>Proposal 6</w:t>
      </w:r>
      <w:r w:rsidR="00B347FD">
        <w:rPr>
          <w:b/>
          <w:bCs/>
        </w:rPr>
        <w:t>b</w:t>
      </w:r>
      <w:r w:rsidRPr="00672024">
        <w:rPr>
          <w:b/>
          <w:bCs/>
        </w:rPr>
        <w:t xml:space="preserve">: Send LS to RAN2 to inquire whether </w:t>
      </w:r>
      <w:r w:rsidR="00B347FD">
        <w:rPr>
          <w:b/>
          <w:bCs/>
        </w:rPr>
        <w:t>a</w:t>
      </w:r>
      <w:r w:rsidRPr="00672024">
        <w:rPr>
          <w:b/>
          <w:bCs/>
        </w:rPr>
        <w:t xml:space="preserve"> </w:t>
      </w:r>
      <w:proofErr w:type="spellStart"/>
      <w:r w:rsidRPr="00672024">
        <w:rPr>
          <w:b/>
          <w:bCs/>
        </w:rPr>
        <w:t>mIAB</w:t>
      </w:r>
      <w:proofErr w:type="spellEnd"/>
      <w:r w:rsidRPr="00672024">
        <w:rPr>
          <w:b/>
          <w:bCs/>
        </w:rPr>
        <w:t xml:space="preserve">-node indicator </w:t>
      </w:r>
      <w:r w:rsidR="00B347FD">
        <w:rPr>
          <w:b/>
          <w:bCs/>
        </w:rPr>
        <w:t xml:space="preserve">is supported in both, </w:t>
      </w:r>
      <w:r w:rsidRPr="00672024">
        <w:rPr>
          <w:b/>
          <w:bCs/>
        </w:rPr>
        <w:t xml:space="preserve">UE capabilities </w:t>
      </w:r>
      <w:r w:rsidR="00B347FD">
        <w:rPr>
          <w:b/>
          <w:bCs/>
        </w:rPr>
        <w:t>and</w:t>
      </w:r>
      <w:r w:rsidRPr="00672024">
        <w:rPr>
          <w:b/>
          <w:bCs/>
        </w:rPr>
        <w:t xml:space="preserve"> Msg.5</w:t>
      </w:r>
      <w:r w:rsidR="00B347FD">
        <w:rPr>
          <w:b/>
          <w:bCs/>
        </w:rPr>
        <w:t>, and explain that in case RAN2 decides to remove it from UE capabilities, RAN3 would have to include in the MT’s HO Request</w:t>
      </w:r>
      <w:r w:rsidRPr="00672024">
        <w:rPr>
          <w:b/>
          <w:bCs/>
        </w:rPr>
        <w:t xml:space="preserve">. </w:t>
      </w:r>
    </w:p>
    <w:p w14:paraId="26095A89" w14:textId="77777777" w:rsidR="00AE2D9D" w:rsidRDefault="00AE2D9D" w:rsidP="00515DD8">
      <w:pPr>
        <w:spacing w:before="120" w:after="120"/>
        <w:rPr>
          <w:b/>
          <w:bCs/>
        </w:rPr>
      </w:pPr>
    </w:p>
    <w:p w14:paraId="63784B3B" w14:textId="43DB7B8F" w:rsidR="00B347FD" w:rsidRDefault="00B347FD" w:rsidP="00B347FD">
      <w:pPr>
        <w:pStyle w:val="Heading2"/>
      </w:pPr>
      <w:r>
        <w:rPr>
          <w:highlight w:val="yellow"/>
        </w:rPr>
        <w:t>Issue 7:</w:t>
      </w:r>
      <w:r w:rsidRPr="002335F9">
        <w:t xml:space="preserve"> </w:t>
      </w:r>
      <w:r>
        <w:t xml:space="preserve">Information exchange related to </w:t>
      </w:r>
      <w:proofErr w:type="spellStart"/>
      <w:r>
        <w:t>mIAB</w:t>
      </w:r>
      <w:proofErr w:type="spellEnd"/>
      <w:r>
        <w:t xml:space="preserve">-node </w:t>
      </w:r>
      <w:proofErr w:type="gramStart"/>
      <w:r>
        <w:t>authorization</w:t>
      </w:r>
      <w:proofErr w:type="gramEnd"/>
      <w:r>
        <w:t xml:space="preserve"> </w:t>
      </w:r>
    </w:p>
    <w:p w14:paraId="1F0FCA54" w14:textId="3E97BC65" w:rsidR="00DA5BDC" w:rsidRDefault="00DA5BDC" w:rsidP="00DA5BDC">
      <w:r>
        <w:t>On mobile-IAB-node-authorized, SA2 captured in TS 23.501, clause 5.35A.4:</w:t>
      </w:r>
    </w:p>
    <w:tbl>
      <w:tblPr>
        <w:tblStyle w:val="TableGrid"/>
        <w:tblW w:w="0" w:type="auto"/>
        <w:tblInd w:w="175" w:type="dxa"/>
        <w:tblLook w:val="04A0" w:firstRow="1" w:lastRow="0" w:firstColumn="1" w:lastColumn="0" w:noHBand="0" w:noVBand="1"/>
      </w:tblPr>
      <w:tblGrid>
        <w:gridCol w:w="9270"/>
      </w:tblGrid>
      <w:tr w:rsidR="00DA5BDC" w14:paraId="3917E6F4" w14:textId="77777777" w:rsidTr="00DA5BDC">
        <w:tc>
          <w:tcPr>
            <w:tcW w:w="9270" w:type="dxa"/>
          </w:tcPr>
          <w:p w14:paraId="429B7B5B" w14:textId="77777777" w:rsidR="00DA5BDC" w:rsidRPr="00DA5BDC" w:rsidRDefault="00DA5BDC" w:rsidP="003E4CFB">
            <w:pPr>
              <w:spacing w:before="120" w:after="120"/>
              <w:rPr>
                <w:sz w:val="18"/>
                <w:szCs w:val="18"/>
              </w:rPr>
            </w:pPr>
            <w:r w:rsidRPr="00DA5BDC">
              <w:rPr>
                <w:sz w:val="18"/>
                <w:szCs w:val="18"/>
              </w:rPr>
              <w:lastRenderedPageBreak/>
              <w:t>The MBSR provides the authorization indication (not authorized) to its AS layer.</w:t>
            </w:r>
          </w:p>
          <w:p w14:paraId="61D82647" w14:textId="77777777" w:rsidR="00DA5BDC" w:rsidRPr="00DA5BDC" w:rsidRDefault="00DA5BDC" w:rsidP="003E4CFB">
            <w:pPr>
              <w:spacing w:before="120" w:after="120"/>
              <w:rPr>
                <w:sz w:val="18"/>
                <w:szCs w:val="18"/>
              </w:rPr>
            </w:pPr>
            <w:r w:rsidRPr="00DA5BDC">
              <w:rPr>
                <w:sz w:val="18"/>
                <w:szCs w:val="18"/>
              </w:rPr>
              <w:t>…</w:t>
            </w:r>
          </w:p>
          <w:p w14:paraId="0B71BAE8" w14:textId="77777777" w:rsidR="00171530" w:rsidRPr="00171530" w:rsidRDefault="00171530" w:rsidP="00171530">
            <w:pPr>
              <w:rPr>
                <w:sz w:val="18"/>
                <w:szCs w:val="18"/>
              </w:rPr>
            </w:pPr>
            <w:r w:rsidRPr="00171530">
              <w:rPr>
                <w:sz w:val="18"/>
                <w:szCs w:val="18"/>
              </w:rPr>
              <w:t>If the MBSR operation is not authorized (</w:t>
            </w:r>
            <w:proofErr w:type="gramStart"/>
            <w:r w:rsidRPr="00171530">
              <w:rPr>
                <w:sz w:val="18"/>
                <w:szCs w:val="18"/>
              </w:rPr>
              <w:t>e.g.</w:t>
            </w:r>
            <w:proofErr w:type="gramEnd"/>
            <w:r w:rsidRPr="00171530">
              <w:rPr>
                <w:sz w:val="18"/>
                <w:szCs w:val="18"/>
              </w:rPr>
              <w:t xml:space="preserve">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rsidRPr="00171530">
              <w:rPr>
                <w:sz w:val="18"/>
                <w:szCs w:val="18"/>
              </w:rPr>
              <w:t>gNB</w:t>
            </w:r>
            <w:proofErr w:type="spellEnd"/>
            <w:r w:rsidRPr="00171530">
              <w:rPr>
                <w:sz w:val="18"/>
                <w:szCs w:val="18"/>
              </w:rP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251C09E9" w14:textId="77777777" w:rsidR="00171530" w:rsidRPr="00171530" w:rsidRDefault="00171530" w:rsidP="00171530">
            <w:pPr>
              <w:pStyle w:val="EditorsNote"/>
              <w:rPr>
                <w:sz w:val="18"/>
                <w:szCs w:val="18"/>
              </w:rPr>
            </w:pPr>
            <w:r w:rsidRPr="00171530">
              <w:rPr>
                <w:sz w:val="18"/>
                <w:szCs w:val="18"/>
              </w:rPr>
              <w:t>Editor's note:</w:t>
            </w:r>
            <w:r w:rsidRPr="00171530">
              <w:rPr>
                <w:sz w:val="18"/>
                <w:szCs w:val="18"/>
              </w:rPr>
              <w:tab/>
              <w:t>The details of the additional information and corresponding MBSR behaviour will be added.</w:t>
            </w:r>
          </w:p>
          <w:p w14:paraId="3FB4E8E4" w14:textId="77777777" w:rsidR="00171530" w:rsidRPr="00171530" w:rsidRDefault="00171530" w:rsidP="00171530">
            <w:pPr>
              <w:pStyle w:val="EditorsNote"/>
              <w:rPr>
                <w:sz w:val="18"/>
                <w:szCs w:val="18"/>
              </w:rPr>
            </w:pPr>
            <w:r w:rsidRPr="00171530">
              <w:rPr>
                <w:sz w:val="18"/>
                <w:szCs w:val="18"/>
              </w:rPr>
              <w:t>Editor's note:</w:t>
            </w:r>
            <w:r w:rsidRPr="00171530">
              <w:rPr>
                <w:sz w:val="18"/>
                <w:szCs w:val="18"/>
              </w:rPr>
              <w:tab/>
              <w:t>Whether the MBSR needs to provide the authorization indication (not authorized) to its AS layer will be further synch with RAN WGs.</w:t>
            </w:r>
          </w:p>
          <w:p w14:paraId="3C4151ED" w14:textId="77777777" w:rsidR="00DA5BDC" w:rsidRPr="00DA5BDC" w:rsidRDefault="00DA5BDC" w:rsidP="003E4CFB">
            <w:pPr>
              <w:spacing w:before="120" w:after="120"/>
              <w:rPr>
                <w:sz w:val="18"/>
                <w:szCs w:val="18"/>
              </w:rPr>
            </w:pPr>
            <w:r w:rsidRPr="00DA5BDC">
              <w:rPr>
                <w:sz w:val="18"/>
                <w:szCs w:val="18"/>
              </w:rPr>
              <w:t>When the MBSR authorization state changes for a registered MBSR node (either authorized, or not authorized), the AMF updates the MBSR and the NG-RAN accordingly.</w:t>
            </w:r>
          </w:p>
          <w:p w14:paraId="30F0CCA9" w14:textId="77777777" w:rsidR="00DA5BDC" w:rsidRPr="00DA5BDC" w:rsidRDefault="00DA5BDC" w:rsidP="003E4CFB">
            <w:pPr>
              <w:spacing w:before="120" w:after="120"/>
              <w:rPr>
                <w:sz w:val="18"/>
                <w:szCs w:val="18"/>
              </w:rPr>
            </w:pPr>
            <w:r w:rsidRPr="00DA5BDC">
              <w:rPr>
                <w:sz w:val="18"/>
                <w:szCs w:val="18"/>
              </w:rPr>
              <w:t>The AMF informs the NG-RAN of the new authorization status using UE Context Modification, Initial Context Setup procedure or the DOWNLINK NAS TRANSPORT message, with the following principles:</w:t>
            </w:r>
          </w:p>
          <w:p w14:paraId="20E847E3" w14:textId="77777777" w:rsidR="00DA5BDC" w:rsidRPr="00DA5BDC" w:rsidRDefault="00DA5BDC" w:rsidP="003E4CFB">
            <w:pPr>
              <w:pStyle w:val="B1"/>
              <w:spacing w:before="120" w:after="120"/>
              <w:rPr>
                <w:sz w:val="18"/>
                <w:szCs w:val="18"/>
              </w:rPr>
            </w:pPr>
            <w:r w:rsidRPr="00DA5BDC">
              <w:rPr>
                <w:sz w:val="18"/>
                <w:szCs w:val="18"/>
              </w:rPr>
              <w:t>-</w:t>
            </w:r>
            <w:r w:rsidRPr="00DA5BDC">
              <w:rPr>
                <w:sz w:val="18"/>
                <w:szCs w:val="18"/>
              </w:rPr>
              <w:tab/>
              <w:t xml:space="preserve">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w:t>
            </w:r>
            <w:r w:rsidRPr="009C710F">
              <w:rPr>
                <w:sz w:val="18"/>
                <w:szCs w:val="18"/>
                <w:highlight w:val="yellow"/>
              </w:rPr>
              <w:t>The NG-RAN completes handover of the UEs served by the MBSR before releasing the F1 connection to the MBSR IAB-DU</w:t>
            </w:r>
            <w:r w:rsidRPr="00DA5BDC">
              <w:rPr>
                <w:sz w:val="18"/>
                <w:szCs w:val="18"/>
              </w:rPr>
              <w:t>.</w:t>
            </w:r>
          </w:p>
          <w:p w14:paraId="5E030DC1" w14:textId="77777777" w:rsidR="00DA5BDC" w:rsidRDefault="00DA5BDC" w:rsidP="003E4CFB">
            <w:pPr>
              <w:pStyle w:val="B1"/>
              <w:spacing w:before="120" w:after="120"/>
              <w:rPr>
                <w:sz w:val="18"/>
                <w:szCs w:val="18"/>
              </w:rPr>
            </w:pPr>
            <w:r w:rsidRPr="00DA5BDC">
              <w:rPr>
                <w:sz w:val="18"/>
                <w:szCs w:val="18"/>
              </w:rPr>
              <w:t>-</w:t>
            </w:r>
            <w:r w:rsidRPr="00DA5BDC">
              <w:rPr>
                <w:sz w:val="18"/>
                <w:szCs w:val="18"/>
              </w:rPr>
              <w:tab/>
              <w:t>If the authorization state changes from authorized to not authorized and the AMF uses the Deregistration procedure to update the MBSR, the AMF sends the UE Context Modification message to NG-RAN before triggering the deregistration towards MBSR after a certain period (</w:t>
            </w:r>
            <w:proofErr w:type="gramStart"/>
            <w:r w:rsidRPr="00DA5BDC">
              <w:rPr>
                <w:sz w:val="18"/>
                <w:szCs w:val="18"/>
              </w:rPr>
              <w:t>e.g.</w:t>
            </w:r>
            <w:proofErr w:type="gramEnd"/>
            <w:r w:rsidRPr="00DA5BDC">
              <w:rPr>
                <w:sz w:val="18"/>
                <w:szCs w:val="18"/>
              </w:rPr>
              <w:t xml:space="preserve"> based on the expiration of a timer configured on the AMF).</w:t>
            </w:r>
          </w:p>
          <w:p w14:paraId="0A1A96CD" w14:textId="24485961" w:rsidR="000B66F6" w:rsidRDefault="000B66F6" w:rsidP="003E4CFB">
            <w:pPr>
              <w:pStyle w:val="B1"/>
              <w:spacing w:before="120" w:after="120"/>
            </w:pPr>
            <w:r>
              <w:t>…</w:t>
            </w:r>
          </w:p>
        </w:tc>
      </w:tr>
    </w:tbl>
    <w:p w14:paraId="668EDF6A" w14:textId="77777777" w:rsidR="00DD6470" w:rsidRDefault="00DD6470" w:rsidP="000537FD"/>
    <w:p w14:paraId="6A5F56E2" w14:textId="3163C49F" w:rsidR="00B347FD" w:rsidRDefault="00B347FD" w:rsidP="00B347FD">
      <w:pPr>
        <w:spacing w:before="120" w:after="120"/>
      </w:pPr>
      <w:r>
        <w:t>The following issues need to be addressed</w:t>
      </w:r>
      <w:r w:rsidR="009C710F">
        <w:t xml:space="preserve"> by RAN3</w:t>
      </w:r>
      <w:r>
        <w:t>:</w:t>
      </w:r>
    </w:p>
    <w:p w14:paraId="7B2789EF" w14:textId="77777777" w:rsidR="00186BFE" w:rsidRDefault="00550FEA" w:rsidP="00D02EC1">
      <w:pPr>
        <w:pStyle w:val="ListParagraph"/>
        <w:numPr>
          <w:ilvl w:val="0"/>
          <w:numId w:val="43"/>
        </w:numPr>
        <w:spacing w:before="120" w:after="120"/>
        <w:contextualSpacing w:val="0"/>
      </w:pPr>
      <w:r w:rsidRPr="000C05CC">
        <w:rPr>
          <w:b/>
          <w:bCs/>
          <w:highlight w:val="yellow"/>
        </w:rPr>
        <w:t>Issue 7a</w:t>
      </w:r>
      <w:r w:rsidRPr="000C05CC">
        <w:rPr>
          <w:highlight w:val="yellow"/>
        </w:rPr>
        <w:t>:</w:t>
      </w:r>
      <w:r>
        <w:t xml:space="preserve"> </w:t>
      </w:r>
      <w:r w:rsidR="009C710F">
        <w:t>How to inform the DU’s CU, if different from MT’s CU, that the authorization state has changed to “non</w:t>
      </w:r>
      <w:r w:rsidR="003333A3">
        <w:t>-</w:t>
      </w:r>
      <w:r w:rsidR="009C710F">
        <w:t>authorized”, so that the DU’s CU can initiate the UE handover</w:t>
      </w:r>
      <w:r w:rsidR="00740946">
        <w:t xml:space="preserve"> and then release F1</w:t>
      </w:r>
      <w:r w:rsidR="009C710F">
        <w:t>.</w:t>
      </w:r>
      <w:r w:rsidR="000C05CC">
        <w:t xml:space="preserve"> </w:t>
      </w:r>
    </w:p>
    <w:p w14:paraId="26976F51" w14:textId="4982BBA2" w:rsidR="003333A3" w:rsidRPr="00550FEA" w:rsidRDefault="00186BFE" w:rsidP="00D02EC1">
      <w:pPr>
        <w:pStyle w:val="ListParagraph"/>
        <w:numPr>
          <w:ilvl w:val="0"/>
          <w:numId w:val="43"/>
        </w:numPr>
        <w:spacing w:before="120" w:after="120"/>
        <w:contextualSpacing w:val="0"/>
      </w:pPr>
      <w:r w:rsidRPr="000C05CC">
        <w:rPr>
          <w:b/>
          <w:bCs/>
          <w:highlight w:val="yellow"/>
        </w:rPr>
        <w:t>Issue 7</w:t>
      </w:r>
      <w:r>
        <w:rPr>
          <w:b/>
          <w:bCs/>
          <w:highlight w:val="yellow"/>
        </w:rPr>
        <w:t>b</w:t>
      </w:r>
      <w:r w:rsidRPr="000C05CC">
        <w:rPr>
          <w:highlight w:val="yellow"/>
        </w:rPr>
        <w:t>:</w:t>
      </w:r>
      <w:r>
        <w:t xml:space="preserve"> H</w:t>
      </w:r>
      <w:r w:rsidR="003333A3">
        <w:t xml:space="preserve">ow to inform the </w:t>
      </w:r>
      <w:proofErr w:type="spellStart"/>
      <w:r>
        <w:t>m</w:t>
      </w:r>
      <w:r w:rsidR="003333A3">
        <w:t>IAB</w:t>
      </w:r>
      <w:proofErr w:type="spellEnd"/>
      <w:r w:rsidR="003333A3">
        <w:t xml:space="preserve">-node that the authorization state has changed to “authorized”, so that the IAB-node can establish the F1 </w:t>
      </w:r>
      <w:r w:rsidR="00BA2736">
        <w:t>connection</w:t>
      </w:r>
      <w:r w:rsidR="003333A3">
        <w:t>.</w:t>
      </w:r>
    </w:p>
    <w:p w14:paraId="2A82D7D3" w14:textId="41EE6EA9" w:rsidR="00550FEA" w:rsidRDefault="00B347FD" w:rsidP="00EB0220">
      <w:pPr>
        <w:pStyle w:val="ListParagraph"/>
        <w:numPr>
          <w:ilvl w:val="0"/>
          <w:numId w:val="43"/>
        </w:numPr>
        <w:spacing w:before="120" w:after="120"/>
        <w:contextualSpacing w:val="0"/>
      </w:pPr>
      <w:r w:rsidRPr="00550FEA">
        <w:rPr>
          <w:b/>
          <w:bCs/>
          <w:highlight w:val="yellow"/>
        </w:rPr>
        <w:t>Issue 7</w:t>
      </w:r>
      <w:r w:rsidR="00186BFE">
        <w:rPr>
          <w:b/>
          <w:bCs/>
          <w:highlight w:val="yellow"/>
        </w:rPr>
        <w:t>c</w:t>
      </w:r>
      <w:r w:rsidRPr="00BA2736">
        <w:rPr>
          <w:highlight w:val="yellow"/>
        </w:rPr>
        <w:t>:</w:t>
      </w:r>
      <w:r>
        <w:t xml:space="preserve"> </w:t>
      </w:r>
      <w:r w:rsidR="00550FEA">
        <w:t>Whether to pass the mobile IAB-node-authorization indicator to target CU during MT migration.</w:t>
      </w:r>
    </w:p>
    <w:p w14:paraId="4936CF82" w14:textId="77777777" w:rsidR="00186BFE" w:rsidRDefault="009C710F" w:rsidP="000537FD">
      <w:r>
        <w:t xml:space="preserve">On </w:t>
      </w:r>
      <w:r w:rsidRPr="009C710F">
        <w:rPr>
          <w:highlight w:val="yellow"/>
        </w:rPr>
        <w:t>Issue 7a</w:t>
      </w:r>
      <w:r>
        <w:t xml:space="preserve">: The MT’s CU </w:t>
      </w:r>
      <w:r w:rsidR="00186BFE">
        <w:t>needs to</w:t>
      </w:r>
      <w:r>
        <w:t xml:space="preserve"> send an </w:t>
      </w:r>
      <w:r w:rsidR="000C05CC">
        <w:t>indicat</w:t>
      </w:r>
      <w:r w:rsidR="00186BFE">
        <w:t>ion</w:t>
      </w:r>
      <w:r w:rsidR="000C05CC">
        <w:t xml:space="preserve"> to the DU’s CU that the </w:t>
      </w:r>
      <w:proofErr w:type="spellStart"/>
      <w:r w:rsidR="000C05CC">
        <w:t>mIAB</w:t>
      </w:r>
      <w:proofErr w:type="spellEnd"/>
      <w:r w:rsidR="000C05CC">
        <w:t>-node’s authorization state has changed to “non-authorized”. This indicat</w:t>
      </w:r>
      <w:r w:rsidR="00186BFE">
        <w:t>ion</w:t>
      </w:r>
      <w:r w:rsidR="000C05CC">
        <w:t xml:space="preserve"> can be sent </w:t>
      </w:r>
      <w:r w:rsidR="00186BFE">
        <w:t xml:space="preserve">via </w:t>
      </w:r>
      <w:proofErr w:type="spellStart"/>
      <w:r w:rsidR="00186BFE">
        <w:t>Xn</w:t>
      </w:r>
      <w:proofErr w:type="spellEnd"/>
      <w:r w:rsidR="000C05CC">
        <w:t xml:space="preserve"> </w:t>
      </w:r>
      <w:r>
        <w:t xml:space="preserve">in case </w:t>
      </w:r>
      <w:r w:rsidR="003333A3">
        <w:t xml:space="preserve">(1) </w:t>
      </w:r>
      <w:proofErr w:type="spellStart"/>
      <w:r>
        <w:t>Xn</w:t>
      </w:r>
      <w:proofErr w:type="spellEnd"/>
      <w:r>
        <w:t xml:space="preserve"> is supported and </w:t>
      </w:r>
      <w:r w:rsidR="003333A3">
        <w:t xml:space="preserve">(2) </w:t>
      </w:r>
      <w:r>
        <w:t xml:space="preserve">the MT’s CU knows the </w:t>
      </w:r>
      <w:proofErr w:type="spellStart"/>
      <w:r>
        <w:t>gNB</w:t>
      </w:r>
      <w:proofErr w:type="spellEnd"/>
      <w:r>
        <w:t xml:space="preserve">-ID and IP address of the DU’s CU. </w:t>
      </w:r>
      <w:r w:rsidR="003333A3">
        <w:t>Alternatively, this message can be passed via the IAB-nod</w:t>
      </w:r>
      <w:r w:rsidR="000C05CC">
        <w:t>e</w:t>
      </w:r>
      <w:r w:rsidR="00186BFE">
        <w:t>, e.g.,</w:t>
      </w:r>
      <w:r w:rsidR="000C05CC">
        <w:t xml:space="preserve"> as discussed under Issue 2. </w:t>
      </w:r>
    </w:p>
    <w:p w14:paraId="5FEC22A6" w14:textId="77777777" w:rsidR="00813F30" w:rsidRPr="00186BFE" w:rsidRDefault="00813F30" w:rsidP="00813F30">
      <w:pPr>
        <w:spacing w:before="120" w:after="240"/>
        <w:rPr>
          <w:b/>
          <w:bCs/>
        </w:rPr>
      </w:pPr>
      <w:r w:rsidRPr="00672024">
        <w:rPr>
          <w:b/>
          <w:bCs/>
        </w:rPr>
        <w:t xml:space="preserve">Proposal </w:t>
      </w:r>
      <w:r>
        <w:rPr>
          <w:b/>
          <w:bCs/>
        </w:rPr>
        <w:t>7a</w:t>
      </w:r>
      <w:r w:rsidRPr="00672024">
        <w:rPr>
          <w:b/>
          <w:bCs/>
        </w:rPr>
        <w:t xml:space="preserve">: </w:t>
      </w:r>
      <w:r w:rsidRPr="00186BFE">
        <w:rPr>
          <w:b/>
          <w:bCs/>
        </w:rPr>
        <w:t xml:space="preserve">The MT’s CU needs to send an indication to the DU’s CU </w:t>
      </w:r>
      <w:r>
        <w:rPr>
          <w:b/>
          <w:bCs/>
        </w:rPr>
        <w:t>in case</w:t>
      </w:r>
      <w:r w:rsidRPr="00186BFE">
        <w:rPr>
          <w:b/>
          <w:bCs/>
        </w:rPr>
        <w:t xml:space="preserve"> the </w:t>
      </w:r>
      <w:proofErr w:type="spellStart"/>
      <w:r w:rsidRPr="00186BFE">
        <w:rPr>
          <w:b/>
          <w:bCs/>
        </w:rPr>
        <w:t>mIAB</w:t>
      </w:r>
      <w:proofErr w:type="spellEnd"/>
      <w:r w:rsidRPr="00186BFE">
        <w:rPr>
          <w:b/>
          <w:bCs/>
        </w:rPr>
        <w:t>-node’s authorization state has changed to “non-authorized”.</w:t>
      </w:r>
      <w:r>
        <w:rPr>
          <w:b/>
          <w:bCs/>
        </w:rPr>
        <w:t xml:space="preserve"> </w:t>
      </w:r>
    </w:p>
    <w:p w14:paraId="24A6F89A" w14:textId="6F3DEB48" w:rsidR="00186BFE" w:rsidRDefault="00186BFE" w:rsidP="000537FD">
      <w:r>
        <w:t xml:space="preserve">On </w:t>
      </w:r>
      <w:r w:rsidRPr="009C710F">
        <w:rPr>
          <w:highlight w:val="yellow"/>
        </w:rPr>
        <w:t xml:space="preserve">Issue </w:t>
      </w:r>
      <w:r w:rsidRPr="00186BFE">
        <w:rPr>
          <w:highlight w:val="yellow"/>
        </w:rPr>
        <w:t>7b</w:t>
      </w:r>
      <w:r>
        <w:t xml:space="preserve">: The </w:t>
      </w:r>
      <w:proofErr w:type="spellStart"/>
      <w:r>
        <w:t>mIAB</w:t>
      </w:r>
      <w:proofErr w:type="spellEnd"/>
      <w:r>
        <w:t>-node is informed via NAS that its authorization state has changed to “authorized”. There is no need for a separate message from RAN.</w:t>
      </w:r>
    </w:p>
    <w:p w14:paraId="43C55D20" w14:textId="77777777" w:rsidR="00813F30" w:rsidRPr="00186BFE" w:rsidRDefault="00813F30" w:rsidP="00813F30">
      <w:pPr>
        <w:spacing w:before="120" w:after="240"/>
        <w:rPr>
          <w:b/>
          <w:bCs/>
        </w:rPr>
      </w:pPr>
      <w:r w:rsidRPr="00672024">
        <w:rPr>
          <w:b/>
          <w:bCs/>
        </w:rPr>
        <w:t xml:space="preserve">Proposal </w:t>
      </w:r>
      <w:r>
        <w:rPr>
          <w:b/>
          <w:bCs/>
        </w:rPr>
        <w:t>7b</w:t>
      </w:r>
      <w:r w:rsidRPr="00672024">
        <w:rPr>
          <w:b/>
          <w:bCs/>
        </w:rPr>
        <w:t xml:space="preserve">: </w:t>
      </w:r>
      <w:r w:rsidRPr="00186BFE">
        <w:rPr>
          <w:b/>
          <w:bCs/>
        </w:rPr>
        <w:t xml:space="preserve">The </w:t>
      </w:r>
      <w:r>
        <w:rPr>
          <w:b/>
          <w:bCs/>
        </w:rPr>
        <w:t xml:space="preserve">IAB-node obtains information that its authorization state has changed to “authorized” or “non-authorized” via NAS, i.e., there is no need for </w:t>
      </w:r>
      <w:proofErr w:type="spellStart"/>
      <w:r>
        <w:rPr>
          <w:b/>
          <w:bCs/>
        </w:rPr>
        <w:t>signaling</w:t>
      </w:r>
      <w:proofErr w:type="spellEnd"/>
      <w:r>
        <w:rPr>
          <w:b/>
          <w:bCs/>
        </w:rPr>
        <w:t xml:space="preserve"> by RAN. </w:t>
      </w:r>
    </w:p>
    <w:p w14:paraId="5E15BE88" w14:textId="11D2C3CE" w:rsidR="00186BFE" w:rsidRDefault="00186BFE" w:rsidP="000537FD">
      <w:r>
        <w:t xml:space="preserve">On </w:t>
      </w:r>
      <w:r w:rsidRPr="00186BFE">
        <w:rPr>
          <w:highlight w:val="yellow"/>
        </w:rPr>
        <w:t>Issue 7c</w:t>
      </w:r>
      <w:r>
        <w:t xml:space="preserve">: </w:t>
      </w:r>
      <w:r w:rsidR="005F2904">
        <w:t>During MT migration, the IAB-node’s authorization state is either forwarded to the target CU in the HO Request message, or it is sent to the target CU by the AMF in the Path Switch Response message. The prior solution is preferred since it allows the target CU to learn about the IAB-node’s authorization state at the beginning rather than at the end of MT handover.</w:t>
      </w:r>
    </w:p>
    <w:p w14:paraId="26268EEF" w14:textId="3D57F566" w:rsidR="005F2904" w:rsidRPr="00186BFE" w:rsidRDefault="005F2904" w:rsidP="005F2904">
      <w:pPr>
        <w:spacing w:before="120" w:after="120"/>
        <w:rPr>
          <w:b/>
          <w:bCs/>
        </w:rPr>
      </w:pPr>
      <w:r w:rsidRPr="00672024">
        <w:rPr>
          <w:b/>
          <w:bCs/>
        </w:rPr>
        <w:t xml:space="preserve">Proposal </w:t>
      </w:r>
      <w:r>
        <w:rPr>
          <w:b/>
          <w:bCs/>
        </w:rPr>
        <w:t>7c</w:t>
      </w:r>
      <w:r w:rsidRPr="00672024">
        <w:rPr>
          <w:b/>
          <w:bCs/>
        </w:rPr>
        <w:t xml:space="preserve">: </w:t>
      </w:r>
      <w:r w:rsidRPr="00186BFE">
        <w:rPr>
          <w:b/>
          <w:bCs/>
        </w:rPr>
        <w:t xml:space="preserve">The </w:t>
      </w:r>
      <w:r>
        <w:rPr>
          <w:b/>
          <w:bCs/>
        </w:rPr>
        <w:t xml:space="preserve">IAB-node’s authorization state to be explicitly included in the HO Request during MT migration. </w:t>
      </w:r>
    </w:p>
    <w:p w14:paraId="117A5FBA" w14:textId="77777777" w:rsidR="001B58E5" w:rsidRDefault="001B58E5" w:rsidP="000537FD"/>
    <w:p w14:paraId="23DA704C" w14:textId="4D63F106" w:rsidR="0096408F" w:rsidRDefault="0096408F" w:rsidP="0096408F">
      <w:pPr>
        <w:pStyle w:val="Heading1"/>
      </w:pPr>
      <w:r>
        <w:lastRenderedPageBreak/>
        <w:t>Conclusion</w:t>
      </w:r>
    </w:p>
    <w:p w14:paraId="4B36BE02" w14:textId="76644219" w:rsidR="0096408F" w:rsidRDefault="0096408F" w:rsidP="00D32FB7">
      <w:pPr>
        <w:snapToGrid w:val="0"/>
        <w:spacing w:before="120" w:after="240"/>
      </w:pPr>
      <w:r>
        <w:t xml:space="preserve">This contribution </w:t>
      </w:r>
      <w:r w:rsidR="00AB3861">
        <w:t xml:space="preserve">discussed </w:t>
      </w:r>
      <w:r w:rsidR="00100643">
        <w:t xml:space="preserve">open issues to </w:t>
      </w:r>
      <w:r w:rsidR="00100643" w:rsidRPr="00100643">
        <w:t>MT &amp; DU migration and IAB-node integration</w:t>
      </w:r>
      <w:r w:rsidR="00100643">
        <w:t xml:space="preserve">. </w:t>
      </w:r>
      <w:r>
        <w:t xml:space="preserve">The following </w:t>
      </w:r>
      <w:r w:rsidR="009A68CD">
        <w:t xml:space="preserve">observations and </w:t>
      </w:r>
      <w:r>
        <w:t>proposals have been made:</w:t>
      </w:r>
    </w:p>
    <w:p w14:paraId="69AB5DF1" w14:textId="77777777" w:rsidR="00100643" w:rsidRPr="00AE2D9D" w:rsidRDefault="00100643" w:rsidP="00D32FB7">
      <w:pPr>
        <w:snapToGrid w:val="0"/>
        <w:spacing w:before="120" w:after="240"/>
        <w:rPr>
          <w:u w:val="single"/>
        </w:rPr>
      </w:pPr>
      <w:r w:rsidRPr="00AE2D9D">
        <w:rPr>
          <w:u w:val="single"/>
        </w:rPr>
        <w:t xml:space="preserve">Issue 1: Selection of </w:t>
      </w:r>
      <w:proofErr w:type="spellStart"/>
      <w:r w:rsidRPr="00AE2D9D">
        <w:rPr>
          <w:u w:val="single"/>
        </w:rPr>
        <w:t>mIAB</w:t>
      </w:r>
      <w:proofErr w:type="spellEnd"/>
      <w:r w:rsidRPr="00AE2D9D">
        <w:rPr>
          <w:u w:val="single"/>
        </w:rPr>
        <w:t>-DU’s CU during mobile IAB integration</w:t>
      </w:r>
    </w:p>
    <w:p w14:paraId="731BB04E" w14:textId="1C362753" w:rsidR="00100643" w:rsidRPr="00F61F5B" w:rsidRDefault="00100643" w:rsidP="00D32FB7">
      <w:pPr>
        <w:snapToGrid w:val="0"/>
        <w:spacing w:before="120" w:after="240"/>
        <w:rPr>
          <w:b/>
          <w:bCs/>
        </w:rPr>
      </w:pPr>
      <w:r w:rsidRPr="00F61F5B">
        <w:rPr>
          <w:b/>
          <w:bCs/>
        </w:rPr>
        <w:t>Observation</w:t>
      </w:r>
      <w:r>
        <w:rPr>
          <w:b/>
          <w:bCs/>
        </w:rPr>
        <w:t xml:space="preserve"> 1</w:t>
      </w:r>
      <w:r w:rsidRPr="00F61F5B">
        <w:rPr>
          <w:b/>
          <w:bCs/>
        </w:rPr>
        <w:t xml:space="preserve">: </w:t>
      </w:r>
      <w:r>
        <w:rPr>
          <w:b/>
          <w:bCs/>
        </w:rPr>
        <w:t>It would be inconsistent to allow the</w:t>
      </w:r>
      <w:r w:rsidRPr="00F61F5B">
        <w:rPr>
          <w:b/>
          <w:bCs/>
        </w:rPr>
        <w:t xml:space="preserve"> </w:t>
      </w:r>
      <w:r>
        <w:rPr>
          <w:b/>
          <w:bCs/>
        </w:rPr>
        <w:t>MT’s</w:t>
      </w:r>
      <w:r w:rsidRPr="00F61F5B">
        <w:rPr>
          <w:b/>
          <w:bCs/>
        </w:rPr>
        <w:t xml:space="preserve"> CU </w:t>
      </w:r>
      <w:r>
        <w:rPr>
          <w:b/>
          <w:bCs/>
        </w:rPr>
        <w:t>to select</w:t>
      </w:r>
      <w:r w:rsidRPr="00F61F5B">
        <w:rPr>
          <w:b/>
          <w:bCs/>
        </w:rPr>
        <w:t xml:space="preserve"> the </w:t>
      </w:r>
      <w:r>
        <w:rPr>
          <w:b/>
          <w:bCs/>
        </w:rPr>
        <w:t>DU’s</w:t>
      </w:r>
      <w:r w:rsidRPr="00F61F5B">
        <w:rPr>
          <w:b/>
          <w:bCs/>
        </w:rPr>
        <w:t xml:space="preserve"> CU </w:t>
      </w:r>
      <w:r w:rsidRPr="009B0102">
        <w:rPr>
          <w:b/>
          <w:bCs/>
          <w:u w:val="single"/>
        </w:rPr>
        <w:t>only</w:t>
      </w:r>
      <w:r>
        <w:rPr>
          <w:b/>
          <w:bCs/>
        </w:rPr>
        <w:t xml:space="preserve"> </w:t>
      </w:r>
      <w:r w:rsidRPr="00F61F5B">
        <w:rPr>
          <w:b/>
          <w:bCs/>
        </w:rPr>
        <w:t xml:space="preserve">during </w:t>
      </w:r>
      <w:proofErr w:type="spellStart"/>
      <w:r w:rsidRPr="00F61F5B">
        <w:rPr>
          <w:b/>
          <w:bCs/>
        </w:rPr>
        <w:t>mIAB</w:t>
      </w:r>
      <w:proofErr w:type="spellEnd"/>
      <w:r w:rsidRPr="00F61F5B">
        <w:rPr>
          <w:b/>
          <w:bCs/>
        </w:rPr>
        <w:t>-node integration</w:t>
      </w:r>
      <w:r>
        <w:rPr>
          <w:b/>
          <w:bCs/>
        </w:rPr>
        <w:t xml:space="preserve"> but </w:t>
      </w:r>
      <w:r w:rsidRPr="009B0102">
        <w:rPr>
          <w:b/>
          <w:bCs/>
          <w:u w:val="single"/>
        </w:rPr>
        <w:t>not</w:t>
      </w:r>
      <w:r>
        <w:rPr>
          <w:b/>
          <w:bCs/>
        </w:rPr>
        <w:t xml:space="preserve"> during DU migration.</w:t>
      </w:r>
    </w:p>
    <w:p w14:paraId="08478E69" w14:textId="492AE0F4" w:rsidR="00100643" w:rsidRPr="00B274B9" w:rsidRDefault="00D32FB7" w:rsidP="00D32FB7">
      <w:pPr>
        <w:snapToGrid w:val="0"/>
        <w:spacing w:before="120" w:after="240"/>
        <w:rPr>
          <w:b/>
          <w:bCs/>
        </w:rPr>
      </w:pPr>
      <w:r>
        <w:rPr>
          <w:b/>
          <w:bCs/>
        </w:rPr>
        <w:t>P</w:t>
      </w:r>
      <w:r w:rsidR="00100643" w:rsidRPr="00B274B9">
        <w:rPr>
          <w:b/>
          <w:bCs/>
        </w:rPr>
        <w:t>roposal</w:t>
      </w:r>
      <w:r w:rsidR="00100643">
        <w:rPr>
          <w:b/>
          <w:bCs/>
        </w:rPr>
        <w:t xml:space="preserve"> 1a</w:t>
      </w:r>
      <w:r w:rsidR="00100643" w:rsidRPr="00B274B9">
        <w:rPr>
          <w:b/>
          <w:bCs/>
        </w:rPr>
        <w:t xml:space="preserve">: During network integration, the </w:t>
      </w:r>
      <w:r w:rsidR="00100643">
        <w:rPr>
          <w:b/>
          <w:bCs/>
        </w:rPr>
        <w:t xml:space="preserve">DU’s </w:t>
      </w:r>
      <w:r w:rsidR="00100643" w:rsidRPr="00B274B9">
        <w:rPr>
          <w:b/>
          <w:bCs/>
        </w:rPr>
        <w:t xml:space="preserve">CU can only be selected by the </w:t>
      </w:r>
      <w:proofErr w:type="spellStart"/>
      <w:r w:rsidR="00100643" w:rsidRPr="00B274B9">
        <w:rPr>
          <w:b/>
          <w:bCs/>
        </w:rPr>
        <w:t>mIAB</w:t>
      </w:r>
      <w:proofErr w:type="spellEnd"/>
      <w:r w:rsidR="00100643" w:rsidRPr="00B274B9">
        <w:rPr>
          <w:b/>
          <w:bCs/>
        </w:rPr>
        <w:t>-node’s OAM.</w:t>
      </w:r>
    </w:p>
    <w:p w14:paraId="3C2EFF2D" w14:textId="77777777" w:rsidR="00100643" w:rsidRDefault="00100643" w:rsidP="00D32FB7">
      <w:pPr>
        <w:spacing w:before="120" w:after="240"/>
        <w:rPr>
          <w:b/>
          <w:bCs/>
        </w:rPr>
      </w:pPr>
      <w:r w:rsidRPr="00B274B9">
        <w:rPr>
          <w:b/>
          <w:bCs/>
        </w:rPr>
        <w:t>Proposal</w:t>
      </w:r>
      <w:r>
        <w:rPr>
          <w:b/>
          <w:bCs/>
        </w:rPr>
        <w:t xml:space="preserve"> 1b</w:t>
      </w:r>
      <w:r w:rsidRPr="00B274B9">
        <w:rPr>
          <w:b/>
          <w:bCs/>
        </w:rPr>
        <w:t xml:space="preserve">: </w:t>
      </w:r>
      <w:r>
        <w:rPr>
          <w:b/>
          <w:bCs/>
        </w:rPr>
        <w:t xml:space="preserve">Agree </w:t>
      </w:r>
      <w:r w:rsidRPr="0002050E">
        <w:rPr>
          <w:b/>
          <w:bCs/>
        </w:rPr>
        <w:t xml:space="preserve">WA: “The </w:t>
      </w:r>
      <w:proofErr w:type="spellStart"/>
      <w:r w:rsidRPr="0002050E">
        <w:rPr>
          <w:b/>
          <w:bCs/>
        </w:rPr>
        <w:t>mIAB</w:t>
      </w:r>
      <w:proofErr w:type="spellEnd"/>
      <w:r w:rsidRPr="0002050E">
        <w:rPr>
          <w:b/>
          <w:bCs/>
        </w:rPr>
        <w:t xml:space="preserve">-DU and </w:t>
      </w:r>
      <w:proofErr w:type="spellStart"/>
      <w:r w:rsidRPr="0002050E">
        <w:rPr>
          <w:b/>
          <w:bCs/>
        </w:rPr>
        <w:t>mIAB</w:t>
      </w:r>
      <w:proofErr w:type="spellEnd"/>
      <w:r w:rsidRPr="0002050E">
        <w:rPr>
          <w:b/>
          <w:bCs/>
        </w:rPr>
        <w:t xml:space="preserve">-MT can integrate at different CUs. For this purpose, OAM can be used to configure the </w:t>
      </w:r>
      <w:proofErr w:type="spellStart"/>
      <w:r w:rsidRPr="0002050E">
        <w:rPr>
          <w:b/>
          <w:bCs/>
        </w:rPr>
        <w:t>mIAB</w:t>
      </w:r>
      <w:proofErr w:type="spellEnd"/>
      <w:r w:rsidRPr="0002050E">
        <w:rPr>
          <w:b/>
          <w:bCs/>
        </w:rPr>
        <w:t xml:space="preserve">-DU </w:t>
      </w:r>
      <w:proofErr w:type="gramStart"/>
      <w:r w:rsidRPr="0002050E">
        <w:rPr>
          <w:b/>
          <w:bCs/>
        </w:rPr>
        <w:t>with:</w:t>
      </w:r>
      <w:proofErr w:type="gramEnd"/>
      <w:r w:rsidRPr="0002050E">
        <w:rPr>
          <w:b/>
          <w:bCs/>
        </w:rPr>
        <w:t xml:space="preserve"> a) the donor CU to connect to, and b) the parameters used by the </w:t>
      </w:r>
      <w:proofErr w:type="spellStart"/>
      <w:r w:rsidRPr="0002050E">
        <w:rPr>
          <w:b/>
          <w:bCs/>
        </w:rPr>
        <w:t>mIAB</w:t>
      </w:r>
      <w:proofErr w:type="spellEnd"/>
      <w:r w:rsidRPr="0002050E">
        <w:rPr>
          <w:b/>
          <w:bCs/>
        </w:rPr>
        <w:t xml:space="preserve">-DU to establish TNL associations, </w:t>
      </w:r>
      <w:proofErr w:type="spellStart"/>
      <w:r w:rsidRPr="0002050E">
        <w:rPr>
          <w:b/>
          <w:bCs/>
        </w:rPr>
        <w:t>IPSec</w:t>
      </w:r>
      <w:proofErr w:type="spellEnd"/>
      <w:r w:rsidRPr="0002050E">
        <w:rPr>
          <w:b/>
          <w:bCs/>
        </w:rPr>
        <w:t xml:space="preserve"> tunnels and F1 connectivity to this donor CU.”</w:t>
      </w:r>
    </w:p>
    <w:p w14:paraId="5EB4C242" w14:textId="77777777" w:rsidR="00AE2D9D" w:rsidRDefault="00AE2D9D" w:rsidP="00D32FB7">
      <w:pPr>
        <w:snapToGrid w:val="0"/>
        <w:spacing w:before="120" w:after="240"/>
        <w:rPr>
          <w:u w:val="single"/>
        </w:rPr>
      </w:pPr>
    </w:p>
    <w:p w14:paraId="2A904D63" w14:textId="719AE79F" w:rsidR="006A05AE" w:rsidRPr="00AE2D9D" w:rsidRDefault="00AE2D9D" w:rsidP="00D32FB7">
      <w:pPr>
        <w:snapToGrid w:val="0"/>
        <w:spacing w:before="120" w:after="240"/>
        <w:rPr>
          <w:u w:val="single"/>
        </w:rPr>
      </w:pPr>
      <w:r>
        <w:rPr>
          <w:u w:val="single"/>
        </w:rPr>
        <w:t>I</w:t>
      </w:r>
      <w:r w:rsidR="006A05AE" w:rsidRPr="00AE2D9D">
        <w:rPr>
          <w:u w:val="single"/>
        </w:rPr>
        <w:t>ssue 2: Inter-donor coordination, i.e., TMM and IAB-Resource Coordination procedures</w:t>
      </w:r>
    </w:p>
    <w:p w14:paraId="175B847A" w14:textId="77777777" w:rsidR="00100643" w:rsidRDefault="00100643" w:rsidP="00D32FB7">
      <w:pPr>
        <w:spacing w:before="120" w:after="240"/>
        <w:rPr>
          <w:b/>
          <w:bCs/>
        </w:rPr>
      </w:pPr>
      <w:r w:rsidRPr="002F50B9">
        <w:rPr>
          <w:b/>
          <w:bCs/>
        </w:rPr>
        <w:t>Observation 2</w:t>
      </w:r>
      <w:r>
        <w:rPr>
          <w:b/>
          <w:bCs/>
        </w:rPr>
        <w:t>a</w:t>
      </w:r>
      <w:r w:rsidRPr="002F50B9">
        <w:rPr>
          <w:b/>
          <w:bCs/>
        </w:rPr>
        <w:t xml:space="preserve">: It would be desirable </w:t>
      </w:r>
      <w:r>
        <w:rPr>
          <w:b/>
          <w:bCs/>
        </w:rPr>
        <w:t>to have</w:t>
      </w:r>
      <w:r w:rsidRPr="002F50B9">
        <w:rPr>
          <w:b/>
          <w:bCs/>
        </w:rPr>
        <w:t xml:space="preserve"> a </w:t>
      </w:r>
      <w:r w:rsidRPr="00DD7721">
        <w:rPr>
          <w:b/>
          <w:bCs/>
          <w:u w:val="single"/>
        </w:rPr>
        <w:t>comprehensive</w:t>
      </w:r>
      <w:r w:rsidRPr="002F50B9">
        <w:rPr>
          <w:b/>
          <w:bCs/>
        </w:rPr>
        <w:t xml:space="preserve"> </w:t>
      </w:r>
      <w:r>
        <w:rPr>
          <w:b/>
          <w:bCs/>
        </w:rPr>
        <w:t>solution</w:t>
      </w:r>
      <w:r w:rsidRPr="002F50B9">
        <w:rPr>
          <w:b/>
          <w:bCs/>
        </w:rPr>
        <w:t xml:space="preserve"> </w:t>
      </w:r>
      <w:r>
        <w:rPr>
          <w:b/>
          <w:bCs/>
        </w:rPr>
        <w:t>to</w:t>
      </w:r>
      <w:r w:rsidRPr="002F50B9">
        <w:rPr>
          <w:b/>
          <w:bCs/>
        </w:rPr>
        <w:t xml:space="preserve"> </w:t>
      </w:r>
      <w:proofErr w:type="spellStart"/>
      <w:r>
        <w:rPr>
          <w:b/>
          <w:bCs/>
        </w:rPr>
        <w:t>m</w:t>
      </w:r>
      <w:r w:rsidRPr="002F50B9">
        <w:rPr>
          <w:b/>
          <w:bCs/>
        </w:rPr>
        <w:t>IAB</w:t>
      </w:r>
      <w:proofErr w:type="spellEnd"/>
      <w:r w:rsidRPr="002F50B9">
        <w:rPr>
          <w:b/>
          <w:bCs/>
        </w:rPr>
        <w:t xml:space="preserve">-specific </w:t>
      </w:r>
      <w:r>
        <w:rPr>
          <w:b/>
          <w:bCs/>
        </w:rPr>
        <w:t>inter-donor coordination</w:t>
      </w:r>
      <w:r w:rsidRPr="002F50B9">
        <w:rPr>
          <w:b/>
          <w:bCs/>
        </w:rPr>
        <w:t xml:space="preserve"> for </w:t>
      </w:r>
      <w:r>
        <w:rPr>
          <w:b/>
          <w:bCs/>
        </w:rPr>
        <w:t xml:space="preserve">(1) </w:t>
      </w:r>
      <w:r w:rsidRPr="002F50B9">
        <w:rPr>
          <w:b/>
          <w:bCs/>
        </w:rPr>
        <w:t xml:space="preserve">network integration, </w:t>
      </w:r>
      <w:r>
        <w:rPr>
          <w:b/>
          <w:bCs/>
        </w:rPr>
        <w:t xml:space="preserve">(2) </w:t>
      </w:r>
      <w:r w:rsidRPr="002F50B9">
        <w:rPr>
          <w:b/>
          <w:bCs/>
        </w:rPr>
        <w:t xml:space="preserve">MT migration </w:t>
      </w:r>
      <w:r w:rsidRPr="00085DB3">
        <w:rPr>
          <w:b/>
          <w:bCs/>
        </w:rPr>
        <w:t>and</w:t>
      </w:r>
      <w:r w:rsidRPr="002F50B9">
        <w:rPr>
          <w:b/>
          <w:bCs/>
        </w:rPr>
        <w:t xml:space="preserve"> </w:t>
      </w:r>
      <w:r>
        <w:rPr>
          <w:b/>
          <w:bCs/>
        </w:rPr>
        <w:t xml:space="preserve">(3) </w:t>
      </w:r>
      <w:r w:rsidRPr="002F50B9">
        <w:rPr>
          <w:b/>
          <w:bCs/>
        </w:rPr>
        <w:t>DU migration</w:t>
      </w:r>
      <w:r>
        <w:rPr>
          <w:b/>
          <w:bCs/>
        </w:rPr>
        <w:t>, that can be used</w:t>
      </w:r>
      <w:r w:rsidRPr="002F50B9">
        <w:rPr>
          <w:b/>
          <w:bCs/>
        </w:rPr>
        <w:t xml:space="preserve"> in presence </w:t>
      </w:r>
      <w:r w:rsidRPr="00204289">
        <w:rPr>
          <w:b/>
          <w:bCs/>
          <w:u w:val="single"/>
        </w:rPr>
        <w:t>and</w:t>
      </w:r>
      <w:r>
        <w:rPr>
          <w:b/>
          <w:bCs/>
        </w:rPr>
        <w:t xml:space="preserve"> in</w:t>
      </w:r>
      <w:r w:rsidRPr="002F50B9">
        <w:rPr>
          <w:b/>
          <w:bCs/>
        </w:rPr>
        <w:t xml:space="preserve"> absence of </w:t>
      </w:r>
      <w:proofErr w:type="spellStart"/>
      <w:r w:rsidRPr="002F50B9">
        <w:rPr>
          <w:b/>
          <w:bCs/>
        </w:rPr>
        <w:t>Xn</w:t>
      </w:r>
      <w:proofErr w:type="spellEnd"/>
      <w:r>
        <w:rPr>
          <w:b/>
          <w:bCs/>
        </w:rPr>
        <w:t>,</w:t>
      </w:r>
      <w:r w:rsidRPr="002F50B9">
        <w:rPr>
          <w:b/>
          <w:bCs/>
        </w:rPr>
        <w:t xml:space="preserve"> </w:t>
      </w:r>
      <w:r w:rsidRPr="00085DB3">
        <w:rPr>
          <w:b/>
          <w:bCs/>
        </w:rPr>
        <w:t>and</w:t>
      </w:r>
      <w:r>
        <w:rPr>
          <w:b/>
          <w:bCs/>
        </w:rPr>
        <w:t xml:space="preserve"> that has </w:t>
      </w:r>
      <w:r w:rsidRPr="00204289">
        <w:rPr>
          <w:b/>
          <w:bCs/>
          <w:u w:val="single"/>
        </w:rPr>
        <w:t>no</w:t>
      </w:r>
      <w:r>
        <w:rPr>
          <w:b/>
          <w:bCs/>
        </w:rPr>
        <w:t xml:space="preserve"> AMF impact</w:t>
      </w:r>
      <w:r w:rsidRPr="002F50B9">
        <w:rPr>
          <w:b/>
          <w:bCs/>
        </w:rPr>
        <w:t>.</w:t>
      </w:r>
    </w:p>
    <w:p w14:paraId="67BCD31A" w14:textId="77777777" w:rsidR="00100643" w:rsidRPr="006B3A5A" w:rsidRDefault="00100643" w:rsidP="00D32FB7">
      <w:pPr>
        <w:spacing w:before="120" w:after="240"/>
        <w:rPr>
          <w:b/>
          <w:bCs/>
        </w:rPr>
      </w:pPr>
      <w:r w:rsidRPr="006B3A5A">
        <w:rPr>
          <w:b/>
          <w:bCs/>
        </w:rPr>
        <w:t>Observation 2</w:t>
      </w:r>
      <w:r>
        <w:rPr>
          <w:b/>
          <w:bCs/>
        </w:rPr>
        <w:t>b</w:t>
      </w:r>
      <w:r w:rsidRPr="006B3A5A">
        <w:rPr>
          <w:b/>
          <w:bCs/>
        </w:rPr>
        <w:t xml:space="preserve">: </w:t>
      </w:r>
      <w:r>
        <w:rPr>
          <w:b/>
          <w:bCs/>
        </w:rPr>
        <w:t xml:space="preserve">Such a comprehensive solution can be achieved by allowing </w:t>
      </w:r>
      <w:proofErr w:type="spellStart"/>
      <w:r>
        <w:rPr>
          <w:b/>
          <w:bCs/>
        </w:rPr>
        <w:t>mIAB</w:t>
      </w:r>
      <w:proofErr w:type="spellEnd"/>
      <w:r>
        <w:rPr>
          <w:b/>
          <w:bCs/>
        </w:rPr>
        <w:t>-specific inter-donor TMM and IAB Resource Coordination procedures to be transparently conducted via the IAB-node.</w:t>
      </w:r>
    </w:p>
    <w:p w14:paraId="39277B4C" w14:textId="77777777" w:rsidR="00100643" w:rsidRPr="00AC1F6E" w:rsidRDefault="00100643" w:rsidP="00D32FB7">
      <w:pPr>
        <w:spacing w:before="120" w:after="240"/>
        <w:rPr>
          <w:b/>
          <w:bCs/>
        </w:rPr>
      </w:pPr>
      <w:r w:rsidRPr="00AC1F6E">
        <w:rPr>
          <w:b/>
          <w:bCs/>
        </w:rPr>
        <w:t xml:space="preserve">Proposal 2a: </w:t>
      </w:r>
      <w:r>
        <w:rPr>
          <w:b/>
          <w:bCs/>
        </w:rPr>
        <w:t>The messages of TMM and IAB Resource Coordination</w:t>
      </w:r>
      <w:r w:rsidRPr="00AC1F6E">
        <w:rPr>
          <w:b/>
          <w:bCs/>
        </w:rPr>
        <w:t xml:space="preserve"> </w:t>
      </w:r>
      <w:r>
        <w:rPr>
          <w:b/>
          <w:bCs/>
        </w:rPr>
        <w:t>procedures</w:t>
      </w:r>
      <w:r w:rsidRPr="00AC1F6E">
        <w:rPr>
          <w:b/>
          <w:bCs/>
        </w:rPr>
        <w:t xml:space="preserve"> </w:t>
      </w:r>
      <w:r>
        <w:rPr>
          <w:b/>
          <w:bCs/>
        </w:rPr>
        <w:t>are</w:t>
      </w:r>
      <w:r w:rsidRPr="00AC1F6E">
        <w:rPr>
          <w:b/>
          <w:bCs/>
        </w:rPr>
        <w:t xml:space="preserve"> transparently </w:t>
      </w:r>
      <w:r>
        <w:rPr>
          <w:b/>
          <w:bCs/>
        </w:rPr>
        <w:t>passed</w:t>
      </w:r>
      <w:r w:rsidRPr="00AC1F6E">
        <w:rPr>
          <w:b/>
          <w:bCs/>
        </w:rPr>
        <w:t xml:space="preserve"> via the IAB-node</w:t>
      </w:r>
      <w:r>
        <w:rPr>
          <w:b/>
          <w:bCs/>
        </w:rPr>
        <w:t xml:space="preserve"> in case (1) </w:t>
      </w:r>
      <w:proofErr w:type="spellStart"/>
      <w:r>
        <w:rPr>
          <w:b/>
          <w:bCs/>
        </w:rPr>
        <w:t>Xn</w:t>
      </w:r>
      <w:proofErr w:type="spellEnd"/>
      <w:r>
        <w:rPr>
          <w:b/>
          <w:bCs/>
        </w:rPr>
        <w:t xml:space="preserve"> is not available</w:t>
      </w:r>
      <w:r w:rsidRPr="00AC1F6E">
        <w:rPr>
          <w:b/>
          <w:bCs/>
        </w:rPr>
        <w:t>,</w:t>
      </w:r>
      <w:r>
        <w:rPr>
          <w:b/>
          <w:bCs/>
        </w:rPr>
        <w:t xml:space="preserve"> and/or (2) the </w:t>
      </w:r>
      <w:r w:rsidRPr="00AC1F6E">
        <w:rPr>
          <w:b/>
          <w:bCs/>
        </w:rPr>
        <w:t xml:space="preserve">DU’s CU does not know the </w:t>
      </w:r>
      <w:proofErr w:type="spellStart"/>
      <w:r>
        <w:rPr>
          <w:b/>
          <w:bCs/>
        </w:rPr>
        <w:t>gNB</w:t>
      </w:r>
      <w:proofErr w:type="spellEnd"/>
      <w:r>
        <w:rPr>
          <w:b/>
          <w:bCs/>
        </w:rPr>
        <w:t xml:space="preserve">-ID of the </w:t>
      </w:r>
      <w:r w:rsidRPr="00AC1F6E">
        <w:rPr>
          <w:b/>
          <w:bCs/>
        </w:rPr>
        <w:t xml:space="preserve">MT’s CU or the MT’s </w:t>
      </w:r>
      <w:proofErr w:type="spellStart"/>
      <w:r w:rsidRPr="00AC1F6E">
        <w:rPr>
          <w:b/>
          <w:bCs/>
        </w:rPr>
        <w:t>XnAP</w:t>
      </w:r>
      <w:proofErr w:type="spellEnd"/>
      <w:r w:rsidRPr="00AC1F6E">
        <w:rPr>
          <w:b/>
          <w:bCs/>
        </w:rPr>
        <w:t xml:space="preserve"> UE ID</w:t>
      </w:r>
      <w:r>
        <w:rPr>
          <w:b/>
          <w:bCs/>
        </w:rPr>
        <w:t xml:space="preserve">. </w:t>
      </w:r>
    </w:p>
    <w:p w14:paraId="3AB1EE79" w14:textId="77777777" w:rsidR="00100643" w:rsidRDefault="00100643" w:rsidP="00D32FB7">
      <w:pPr>
        <w:spacing w:before="120" w:after="240"/>
        <w:rPr>
          <w:b/>
          <w:bCs/>
        </w:rPr>
      </w:pPr>
      <w:r w:rsidRPr="00AC1F6E">
        <w:rPr>
          <w:b/>
          <w:bCs/>
        </w:rPr>
        <w:t>Proposal 2</w:t>
      </w:r>
      <w:r>
        <w:rPr>
          <w:b/>
          <w:bCs/>
        </w:rPr>
        <w:t>b</w:t>
      </w:r>
      <w:r w:rsidRPr="00AC1F6E">
        <w:rPr>
          <w:b/>
          <w:bCs/>
        </w:rPr>
        <w:t xml:space="preserve">: </w:t>
      </w:r>
      <w:r>
        <w:rPr>
          <w:b/>
          <w:bCs/>
        </w:rPr>
        <w:t xml:space="preserve">When such a message is transparently passed via the </w:t>
      </w:r>
      <w:proofErr w:type="spellStart"/>
      <w:r>
        <w:rPr>
          <w:b/>
          <w:bCs/>
        </w:rPr>
        <w:t>mIAB</w:t>
      </w:r>
      <w:proofErr w:type="spellEnd"/>
      <w:r>
        <w:rPr>
          <w:b/>
          <w:bCs/>
        </w:rPr>
        <w:t xml:space="preserve">-node, the </w:t>
      </w:r>
      <w:proofErr w:type="spellStart"/>
      <w:r>
        <w:rPr>
          <w:b/>
          <w:bCs/>
        </w:rPr>
        <w:t>gNB</w:t>
      </w:r>
      <w:proofErr w:type="spellEnd"/>
      <w:r>
        <w:rPr>
          <w:b/>
          <w:bCs/>
        </w:rPr>
        <w:t xml:space="preserve">-ID of the DU’s CU is included on the RRC section of the message’s path.  </w:t>
      </w:r>
    </w:p>
    <w:p w14:paraId="571665F5" w14:textId="0D87CEF6" w:rsidR="00100643" w:rsidRDefault="00100643" w:rsidP="00D32FB7">
      <w:pPr>
        <w:spacing w:before="120" w:after="240"/>
        <w:rPr>
          <w:b/>
          <w:bCs/>
        </w:rPr>
      </w:pPr>
      <w:r>
        <w:rPr>
          <w:b/>
          <w:bCs/>
        </w:rPr>
        <w:t xml:space="preserve">Proposal 2c: When the </w:t>
      </w:r>
      <w:proofErr w:type="spellStart"/>
      <w:r>
        <w:rPr>
          <w:b/>
          <w:bCs/>
        </w:rPr>
        <w:t>mIAB</w:t>
      </w:r>
      <w:proofErr w:type="spellEnd"/>
      <w:r>
        <w:rPr>
          <w:b/>
          <w:bCs/>
        </w:rPr>
        <w:t xml:space="preserve">-node determines that (one of) its logical DU’s CU does not know the MT’s CU (e.g., after MT migration or logical DU integration), it sends a trigger to the logical DU’s CU so that the logical DU’s CU can initiate the inter-donor coordination via the </w:t>
      </w:r>
      <w:proofErr w:type="spellStart"/>
      <w:r>
        <w:rPr>
          <w:b/>
          <w:bCs/>
        </w:rPr>
        <w:t>mIAB</w:t>
      </w:r>
      <w:proofErr w:type="spellEnd"/>
      <w:r>
        <w:rPr>
          <w:b/>
          <w:bCs/>
        </w:rPr>
        <w:t xml:space="preserve">-node. </w:t>
      </w:r>
    </w:p>
    <w:p w14:paraId="23ABF826" w14:textId="77777777" w:rsidR="00100643" w:rsidRDefault="00100643" w:rsidP="00D32FB7">
      <w:pPr>
        <w:snapToGrid w:val="0"/>
        <w:spacing w:before="120" w:after="240"/>
      </w:pPr>
    </w:p>
    <w:p w14:paraId="0BE5E225" w14:textId="77777777" w:rsidR="006A05AE" w:rsidRPr="00AE2D9D" w:rsidRDefault="006A05AE" w:rsidP="00D32FB7">
      <w:pPr>
        <w:snapToGrid w:val="0"/>
        <w:spacing w:before="120" w:after="240"/>
        <w:rPr>
          <w:u w:val="single"/>
        </w:rPr>
      </w:pPr>
      <w:r w:rsidRPr="00AE2D9D">
        <w:rPr>
          <w:u w:val="single"/>
        </w:rPr>
        <w:t xml:space="preserve">Issue 3: Passing of </w:t>
      </w:r>
      <w:proofErr w:type="spellStart"/>
      <w:r w:rsidRPr="00AE2D9D">
        <w:rPr>
          <w:u w:val="single"/>
        </w:rPr>
        <w:t>mIAB</w:t>
      </w:r>
      <w:proofErr w:type="spellEnd"/>
      <w:r w:rsidRPr="00AE2D9D">
        <w:rPr>
          <w:u w:val="single"/>
        </w:rPr>
        <w:t xml:space="preserve">-MT’s ULI to </w:t>
      </w:r>
      <w:proofErr w:type="spellStart"/>
      <w:r w:rsidRPr="00AE2D9D">
        <w:rPr>
          <w:u w:val="single"/>
        </w:rPr>
        <w:t>mIAB</w:t>
      </w:r>
      <w:proofErr w:type="spellEnd"/>
      <w:r w:rsidRPr="00AE2D9D">
        <w:rPr>
          <w:u w:val="single"/>
        </w:rPr>
        <w:t>-DU’s CU</w:t>
      </w:r>
    </w:p>
    <w:p w14:paraId="3D4817AA" w14:textId="77777777" w:rsidR="006A05AE" w:rsidRPr="00844775" w:rsidRDefault="006A05AE" w:rsidP="00D32FB7">
      <w:pPr>
        <w:spacing w:before="120" w:after="240"/>
        <w:rPr>
          <w:b/>
          <w:bCs/>
        </w:rPr>
      </w:pPr>
      <w:r w:rsidRPr="00844775">
        <w:rPr>
          <w:b/>
          <w:bCs/>
        </w:rPr>
        <w:t xml:space="preserve">Observation 3: The passing of the MT’s ULI to the DU’s CU should be supported in absence of </w:t>
      </w:r>
      <w:proofErr w:type="spellStart"/>
      <w:r w:rsidRPr="00844775">
        <w:rPr>
          <w:b/>
          <w:bCs/>
        </w:rPr>
        <w:t>Xn</w:t>
      </w:r>
      <w:proofErr w:type="spellEnd"/>
      <w:r w:rsidRPr="00844775">
        <w:rPr>
          <w:b/>
          <w:bCs/>
        </w:rPr>
        <w:t>, and it should avoid specification impact on the AMF.</w:t>
      </w:r>
    </w:p>
    <w:p w14:paraId="24C0DA3E" w14:textId="77777777" w:rsidR="006A05AE" w:rsidRPr="00844775" w:rsidRDefault="006A05AE" w:rsidP="00D32FB7">
      <w:pPr>
        <w:spacing w:before="120" w:after="240"/>
        <w:rPr>
          <w:b/>
          <w:bCs/>
        </w:rPr>
      </w:pPr>
      <w:r>
        <w:rPr>
          <w:b/>
          <w:bCs/>
        </w:rPr>
        <w:t>Proposal</w:t>
      </w:r>
      <w:r w:rsidRPr="00844775">
        <w:rPr>
          <w:b/>
          <w:bCs/>
        </w:rPr>
        <w:t xml:space="preserve"> 3: The </w:t>
      </w:r>
      <w:proofErr w:type="spellStart"/>
      <w:r>
        <w:rPr>
          <w:b/>
          <w:bCs/>
        </w:rPr>
        <w:t>mIAB</w:t>
      </w:r>
      <w:proofErr w:type="spellEnd"/>
      <w:r>
        <w:rPr>
          <w:b/>
          <w:bCs/>
        </w:rPr>
        <w:t>-DU to pass the</w:t>
      </w:r>
      <w:r w:rsidRPr="00844775">
        <w:rPr>
          <w:b/>
          <w:bCs/>
        </w:rPr>
        <w:t xml:space="preserve"> MT’s ULI to </w:t>
      </w:r>
      <w:r>
        <w:rPr>
          <w:b/>
          <w:bCs/>
        </w:rPr>
        <w:t>its CU via F1AP.</w:t>
      </w:r>
    </w:p>
    <w:p w14:paraId="2526E0D8" w14:textId="77777777" w:rsidR="001241B0" w:rsidRDefault="001241B0" w:rsidP="00D32FB7">
      <w:pPr>
        <w:snapToGrid w:val="0"/>
        <w:spacing w:before="120" w:after="240"/>
      </w:pPr>
    </w:p>
    <w:p w14:paraId="269D3801" w14:textId="77777777" w:rsidR="006A05AE" w:rsidRPr="00AE2D9D" w:rsidRDefault="006A05AE" w:rsidP="00D32FB7">
      <w:pPr>
        <w:snapToGrid w:val="0"/>
        <w:spacing w:before="120" w:after="240"/>
        <w:rPr>
          <w:u w:val="single"/>
        </w:rPr>
      </w:pPr>
      <w:r w:rsidRPr="00AE2D9D">
        <w:rPr>
          <w:u w:val="single"/>
        </w:rPr>
        <w:t>Issue 4: F1AP procedures for triggering and outcome-reporting of DU migration</w:t>
      </w:r>
    </w:p>
    <w:p w14:paraId="45253D47" w14:textId="77777777" w:rsidR="006A05AE" w:rsidRPr="00844775" w:rsidRDefault="006A05AE" w:rsidP="00D32FB7">
      <w:pPr>
        <w:spacing w:before="120" w:after="240"/>
        <w:rPr>
          <w:b/>
          <w:bCs/>
        </w:rPr>
      </w:pPr>
      <w:r w:rsidRPr="00844775">
        <w:rPr>
          <w:b/>
          <w:bCs/>
        </w:rPr>
        <w:t xml:space="preserve">Observation </w:t>
      </w:r>
      <w:r>
        <w:rPr>
          <w:b/>
          <w:bCs/>
        </w:rPr>
        <w:t>4a</w:t>
      </w:r>
      <w:r w:rsidRPr="00844775">
        <w:rPr>
          <w:b/>
          <w:bCs/>
        </w:rPr>
        <w:t xml:space="preserve">: </w:t>
      </w:r>
      <w:r>
        <w:rPr>
          <w:b/>
          <w:bCs/>
        </w:rPr>
        <w:t>Using</w:t>
      </w:r>
      <w:r w:rsidRPr="001B02D6">
        <w:t xml:space="preserve"> </w:t>
      </w:r>
      <w:r>
        <w:rPr>
          <w:b/>
          <w:bCs/>
        </w:rPr>
        <w:t>legacy</w:t>
      </w:r>
      <w:r w:rsidRPr="001B02D6">
        <w:rPr>
          <w:b/>
          <w:bCs/>
        </w:rPr>
        <w:t xml:space="preserve"> F1AP </w:t>
      </w:r>
      <w:r>
        <w:rPr>
          <w:b/>
          <w:bCs/>
        </w:rPr>
        <w:t>procedures</w:t>
      </w:r>
      <w:r w:rsidRPr="001B02D6">
        <w:rPr>
          <w:b/>
          <w:bCs/>
        </w:rPr>
        <w:t xml:space="preserve"> </w:t>
      </w:r>
      <w:r>
        <w:rPr>
          <w:b/>
          <w:bCs/>
        </w:rPr>
        <w:t xml:space="preserve">for the triggering and outcome-reporting of DU migration </w:t>
      </w:r>
      <w:r w:rsidRPr="001B02D6">
        <w:rPr>
          <w:b/>
          <w:bCs/>
        </w:rPr>
        <w:t xml:space="preserve">has lower complexity than </w:t>
      </w:r>
      <w:r>
        <w:rPr>
          <w:b/>
          <w:bCs/>
        </w:rPr>
        <w:t>using</w:t>
      </w:r>
      <w:r w:rsidRPr="001B02D6">
        <w:rPr>
          <w:b/>
          <w:bCs/>
        </w:rPr>
        <w:t xml:space="preserve"> new </w:t>
      </w:r>
      <w:r>
        <w:rPr>
          <w:b/>
          <w:bCs/>
        </w:rPr>
        <w:t xml:space="preserve">F1AP </w:t>
      </w:r>
      <w:r w:rsidRPr="001B02D6">
        <w:rPr>
          <w:b/>
          <w:bCs/>
        </w:rPr>
        <w:t>procedures</w:t>
      </w:r>
      <w:r w:rsidRPr="00844775">
        <w:rPr>
          <w:b/>
          <w:bCs/>
        </w:rPr>
        <w:t>.</w:t>
      </w:r>
    </w:p>
    <w:p w14:paraId="40ACB6AB" w14:textId="77777777" w:rsidR="006A05AE" w:rsidRDefault="006A05AE" w:rsidP="00D32FB7">
      <w:pPr>
        <w:spacing w:before="120" w:after="240"/>
        <w:rPr>
          <w:b/>
          <w:bCs/>
        </w:rPr>
      </w:pPr>
      <w:r w:rsidRPr="001B02D6">
        <w:rPr>
          <w:b/>
          <w:bCs/>
        </w:rPr>
        <w:t>Proposal 4</w:t>
      </w:r>
      <w:r>
        <w:rPr>
          <w:b/>
          <w:bCs/>
        </w:rPr>
        <w:t>a</w:t>
      </w:r>
      <w:r w:rsidRPr="001B02D6">
        <w:rPr>
          <w:b/>
          <w:bCs/>
        </w:rPr>
        <w:t xml:space="preserve">: The </w:t>
      </w:r>
      <w:r>
        <w:rPr>
          <w:b/>
          <w:bCs/>
        </w:rPr>
        <w:t xml:space="preserve">triggering and outcome-reporting for DU migration should use existing F1AP procedures. </w:t>
      </w:r>
    </w:p>
    <w:p w14:paraId="51958F1E" w14:textId="77777777" w:rsidR="006A05AE" w:rsidRPr="00D70DCE" w:rsidRDefault="006A05AE" w:rsidP="00D32FB7">
      <w:pPr>
        <w:spacing w:before="120" w:after="240"/>
        <w:rPr>
          <w:b/>
          <w:bCs/>
        </w:rPr>
      </w:pPr>
      <w:r w:rsidRPr="00D70DCE">
        <w:rPr>
          <w:b/>
          <w:bCs/>
        </w:rPr>
        <w:t>Proposal 4</w:t>
      </w:r>
      <w:r>
        <w:rPr>
          <w:b/>
          <w:bCs/>
        </w:rPr>
        <w:t>b</w:t>
      </w:r>
      <w:r w:rsidRPr="00D70DCE">
        <w:rPr>
          <w:b/>
          <w:bCs/>
        </w:rPr>
        <w:t xml:space="preserve">: </w:t>
      </w:r>
      <w:r>
        <w:rPr>
          <w:b/>
          <w:bCs/>
        </w:rPr>
        <w:t xml:space="preserve">Separate procedures to be used for the triggering of F1 Setup and for the reporting of the outcome. </w:t>
      </w:r>
    </w:p>
    <w:p w14:paraId="71A06450" w14:textId="77777777" w:rsidR="006A05AE" w:rsidRDefault="006A05AE" w:rsidP="00D32FB7">
      <w:pPr>
        <w:spacing w:before="120" w:after="240"/>
      </w:pPr>
    </w:p>
    <w:p w14:paraId="313538EA" w14:textId="77777777" w:rsidR="006A05AE" w:rsidRPr="00AE2D9D" w:rsidRDefault="006A05AE" w:rsidP="00D32FB7">
      <w:pPr>
        <w:snapToGrid w:val="0"/>
        <w:spacing w:before="120" w:after="240"/>
        <w:rPr>
          <w:u w:val="single"/>
        </w:rPr>
      </w:pPr>
      <w:r w:rsidRPr="00AE2D9D">
        <w:rPr>
          <w:u w:val="single"/>
        </w:rPr>
        <w:lastRenderedPageBreak/>
        <w:t xml:space="preserve">Issue 5: Mapping between cells on source- and target logical </w:t>
      </w:r>
      <w:proofErr w:type="gramStart"/>
      <w:r w:rsidRPr="00AE2D9D">
        <w:rPr>
          <w:u w:val="single"/>
        </w:rPr>
        <w:t>DUs</w:t>
      </w:r>
      <w:proofErr w:type="gramEnd"/>
    </w:p>
    <w:p w14:paraId="7A0A0457" w14:textId="77777777" w:rsidR="006A05AE" w:rsidRDefault="006A05AE" w:rsidP="00D32FB7">
      <w:pPr>
        <w:spacing w:before="120" w:after="240"/>
        <w:rPr>
          <w:b/>
          <w:bCs/>
        </w:rPr>
      </w:pPr>
      <w:r w:rsidRPr="00CB2163">
        <w:rPr>
          <w:b/>
          <w:bCs/>
        </w:rPr>
        <w:t xml:space="preserve">Observation 5a: UE handover between logical DUs on the IAB-node can be based on </w:t>
      </w:r>
      <w:r>
        <w:rPr>
          <w:b/>
          <w:bCs/>
        </w:rPr>
        <w:t xml:space="preserve">UE </w:t>
      </w:r>
      <w:r w:rsidRPr="00CB2163">
        <w:rPr>
          <w:b/>
          <w:bCs/>
        </w:rPr>
        <w:t>measurement reports.</w:t>
      </w:r>
      <w:r>
        <w:rPr>
          <w:b/>
          <w:bCs/>
        </w:rPr>
        <w:t xml:space="preserve"> </w:t>
      </w:r>
    </w:p>
    <w:p w14:paraId="267D5679" w14:textId="434B6CA1" w:rsidR="006A05AE" w:rsidRPr="001A7AF9" w:rsidRDefault="006A05AE" w:rsidP="00D32FB7">
      <w:pPr>
        <w:spacing w:before="120" w:after="240"/>
        <w:rPr>
          <w:b/>
          <w:bCs/>
        </w:rPr>
      </w:pPr>
      <w:r>
        <w:rPr>
          <w:b/>
          <w:bCs/>
        </w:rPr>
        <w:t>Observation 5b: When n</w:t>
      </w:r>
      <w:r w:rsidRPr="001A7AF9">
        <w:rPr>
          <w:b/>
          <w:bCs/>
        </w:rPr>
        <w:t>otifying the source CU about the activated target cells</w:t>
      </w:r>
      <w:r>
        <w:rPr>
          <w:b/>
          <w:bCs/>
        </w:rPr>
        <w:t xml:space="preserve">, the CU can initiate UE handover </w:t>
      </w:r>
      <w:r w:rsidR="00813F30" w:rsidRPr="00813F30">
        <w:rPr>
          <w:b/>
          <w:bCs/>
          <w:u w:val="single"/>
        </w:rPr>
        <w:t>without</w:t>
      </w:r>
      <w:r>
        <w:rPr>
          <w:b/>
          <w:bCs/>
        </w:rPr>
        <w:t xml:space="preserve"> waiting for measurement reports</w:t>
      </w:r>
      <w:r w:rsidR="00813F30">
        <w:rPr>
          <w:b/>
          <w:bCs/>
        </w:rPr>
        <w:t>,</w:t>
      </w:r>
      <w:r>
        <w:rPr>
          <w:b/>
          <w:bCs/>
        </w:rPr>
        <w:t xml:space="preserve"> and it is certain that the selected target cell belongs to the onboard target logical DU.</w:t>
      </w:r>
    </w:p>
    <w:p w14:paraId="5E3ECAD5" w14:textId="77777777" w:rsidR="006A05AE" w:rsidRPr="001A7AF9" w:rsidRDefault="006A05AE" w:rsidP="00D32FB7">
      <w:pPr>
        <w:spacing w:before="120" w:after="240"/>
        <w:rPr>
          <w:b/>
          <w:bCs/>
        </w:rPr>
      </w:pPr>
      <w:r>
        <w:rPr>
          <w:b/>
          <w:bCs/>
        </w:rPr>
        <w:t>Observation 5c: The mapping information of source-to-target cells can assist the source CU in handover decisions, e.g., to ensure that handover occurs intra-frequency and/or between cells with same coverage footprint.</w:t>
      </w:r>
    </w:p>
    <w:p w14:paraId="2FFFA147" w14:textId="77777777" w:rsidR="006A05AE" w:rsidRPr="00F116CA" w:rsidRDefault="006A05AE" w:rsidP="00D32FB7">
      <w:pPr>
        <w:spacing w:before="120" w:after="240"/>
        <w:rPr>
          <w:b/>
          <w:bCs/>
        </w:rPr>
      </w:pPr>
      <w:r w:rsidRPr="00F116CA">
        <w:rPr>
          <w:b/>
          <w:bCs/>
        </w:rPr>
        <w:t>Proposal 5</w:t>
      </w:r>
      <w:r>
        <w:rPr>
          <w:b/>
          <w:bCs/>
        </w:rPr>
        <w:t>a</w:t>
      </w:r>
      <w:r w:rsidRPr="00F116CA">
        <w:rPr>
          <w:b/>
          <w:bCs/>
        </w:rPr>
        <w:t xml:space="preserve">: Agree to WA: “As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F116CA">
        <w:rPr>
          <w:b/>
          <w:bCs/>
        </w:rPr>
        <w:t>mIAB</w:t>
      </w:r>
      <w:proofErr w:type="spellEnd"/>
      <w:r w:rsidRPr="00F116CA">
        <w:rPr>
          <w:b/>
          <w:bCs/>
        </w:rPr>
        <w:t>-DUs.”</w:t>
      </w:r>
    </w:p>
    <w:p w14:paraId="73391F49" w14:textId="77777777" w:rsidR="006A05AE" w:rsidRPr="00F116CA" w:rsidRDefault="006A05AE" w:rsidP="00D32FB7">
      <w:pPr>
        <w:spacing w:before="120" w:after="240"/>
        <w:rPr>
          <w:b/>
          <w:bCs/>
        </w:rPr>
      </w:pPr>
      <w:r w:rsidRPr="00F116CA">
        <w:rPr>
          <w:b/>
          <w:bCs/>
        </w:rPr>
        <w:t>Proposal 5</w:t>
      </w:r>
      <w:r>
        <w:rPr>
          <w:b/>
          <w:bCs/>
        </w:rPr>
        <w:t>b</w:t>
      </w:r>
      <w:r w:rsidRPr="00F116CA">
        <w:rPr>
          <w:b/>
          <w:bCs/>
        </w:rPr>
        <w:t xml:space="preserve">: </w:t>
      </w:r>
      <w:r>
        <w:rPr>
          <w:b/>
          <w:bCs/>
        </w:rPr>
        <w:t>Send LS to RAN2 including RAN3’s understanding of the use of this mapping information and ask RAN2 for feedback if any.</w:t>
      </w:r>
    </w:p>
    <w:p w14:paraId="71722CD3" w14:textId="77777777" w:rsidR="006A05AE" w:rsidRDefault="006A05AE" w:rsidP="00D32FB7">
      <w:pPr>
        <w:spacing w:before="120" w:after="240"/>
      </w:pPr>
    </w:p>
    <w:p w14:paraId="442E9DDA" w14:textId="77777777" w:rsidR="006A05AE" w:rsidRPr="00AE2D9D" w:rsidRDefault="006A05AE" w:rsidP="00D32FB7">
      <w:pPr>
        <w:snapToGrid w:val="0"/>
        <w:spacing w:before="120" w:after="240"/>
        <w:rPr>
          <w:u w:val="single"/>
        </w:rPr>
      </w:pPr>
      <w:r w:rsidRPr="00AE2D9D">
        <w:rPr>
          <w:u w:val="single"/>
        </w:rPr>
        <w:t xml:space="preserve">Issue 6: Information exchange related to </w:t>
      </w:r>
      <w:proofErr w:type="spellStart"/>
      <w:r w:rsidRPr="00AE2D9D">
        <w:rPr>
          <w:u w:val="single"/>
        </w:rPr>
        <w:t>mIAB</w:t>
      </w:r>
      <w:proofErr w:type="spellEnd"/>
      <w:r w:rsidRPr="00AE2D9D">
        <w:rPr>
          <w:u w:val="single"/>
        </w:rPr>
        <w:t xml:space="preserve">-node </w:t>
      </w:r>
      <w:proofErr w:type="gramStart"/>
      <w:r w:rsidRPr="00AE2D9D">
        <w:rPr>
          <w:u w:val="single"/>
        </w:rPr>
        <w:t>indication</w:t>
      </w:r>
      <w:proofErr w:type="gramEnd"/>
      <w:r w:rsidRPr="00AE2D9D">
        <w:rPr>
          <w:u w:val="single"/>
        </w:rPr>
        <w:t xml:space="preserve"> </w:t>
      </w:r>
    </w:p>
    <w:p w14:paraId="6F0B8EB7" w14:textId="77777777" w:rsidR="00AE2D9D" w:rsidRPr="00CD6301" w:rsidRDefault="00AE2D9D" w:rsidP="00D32FB7">
      <w:pPr>
        <w:spacing w:before="120" w:after="240"/>
        <w:rPr>
          <w:b/>
          <w:bCs/>
        </w:rPr>
      </w:pPr>
      <w:r w:rsidRPr="00CD6301">
        <w:rPr>
          <w:b/>
          <w:bCs/>
        </w:rPr>
        <w:t>Proposal 6</w:t>
      </w:r>
      <w:r>
        <w:rPr>
          <w:b/>
          <w:bCs/>
        </w:rPr>
        <w:t>a</w:t>
      </w:r>
      <w:r w:rsidRPr="00CD6301">
        <w:rPr>
          <w:b/>
          <w:bCs/>
        </w:rPr>
        <w:t xml:space="preserve">: RAN3 to either include the mobile-IAB-node indication into the NGAP Initial UE message or send an LS to SA2 with specific reasons why this indication would not be necessary. </w:t>
      </w:r>
    </w:p>
    <w:p w14:paraId="79AF43BF" w14:textId="77777777" w:rsidR="00AE2D9D" w:rsidRDefault="00AE2D9D" w:rsidP="00D32FB7">
      <w:pPr>
        <w:spacing w:before="120" w:after="240"/>
        <w:rPr>
          <w:b/>
          <w:bCs/>
        </w:rPr>
      </w:pPr>
      <w:r w:rsidRPr="00672024">
        <w:rPr>
          <w:b/>
          <w:bCs/>
        </w:rPr>
        <w:t>Proposal 6</w:t>
      </w:r>
      <w:r>
        <w:rPr>
          <w:b/>
          <w:bCs/>
        </w:rPr>
        <w:t>b</w:t>
      </w:r>
      <w:r w:rsidRPr="00672024">
        <w:rPr>
          <w:b/>
          <w:bCs/>
        </w:rPr>
        <w:t xml:space="preserve">: Send LS to RAN2 to inquire whether </w:t>
      </w:r>
      <w:r>
        <w:rPr>
          <w:b/>
          <w:bCs/>
        </w:rPr>
        <w:t>a</w:t>
      </w:r>
      <w:r w:rsidRPr="00672024">
        <w:rPr>
          <w:b/>
          <w:bCs/>
        </w:rPr>
        <w:t xml:space="preserve"> </w:t>
      </w:r>
      <w:proofErr w:type="spellStart"/>
      <w:r w:rsidRPr="00672024">
        <w:rPr>
          <w:b/>
          <w:bCs/>
        </w:rPr>
        <w:t>mIAB</w:t>
      </w:r>
      <w:proofErr w:type="spellEnd"/>
      <w:r w:rsidRPr="00672024">
        <w:rPr>
          <w:b/>
          <w:bCs/>
        </w:rPr>
        <w:t xml:space="preserve">-node indicator </w:t>
      </w:r>
      <w:r>
        <w:rPr>
          <w:b/>
          <w:bCs/>
        </w:rPr>
        <w:t xml:space="preserve">is supported in both, </w:t>
      </w:r>
      <w:r w:rsidRPr="00672024">
        <w:rPr>
          <w:b/>
          <w:bCs/>
        </w:rPr>
        <w:t xml:space="preserve">UE capabilities </w:t>
      </w:r>
      <w:r>
        <w:rPr>
          <w:b/>
          <w:bCs/>
        </w:rPr>
        <w:t>and</w:t>
      </w:r>
      <w:r w:rsidRPr="00672024">
        <w:rPr>
          <w:b/>
          <w:bCs/>
        </w:rPr>
        <w:t xml:space="preserve"> Msg.5</w:t>
      </w:r>
      <w:r>
        <w:rPr>
          <w:b/>
          <w:bCs/>
        </w:rPr>
        <w:t>, and explain that in case RAN2 decides to remove it from UE capabilities, RAN3 would have to include in the MT’s HO Request</w:t>
      </w:r>
      <w:r w:rsidRPr="00672024">
        <w:rPr>
          <w:b/>
          <w:bCs/>
        </w:rPr>
        <w:t xml:space="preserve">. </w:t>
      </w:r>
    </w:p>
    <w:p w14:paraId="53C6FFBB" w14:textId="77777777" w:rsidR="00AE2D9D" w:rsidRDefault="00AE2D9D" w:rsidP="00D32FB7">
      <w:pPr>
        <w:spacing w:before="120" w:after="240"/>
        <w:rPr>
          <w:b/>
          <w:bCs/>
        </w:rPr>
      </w:pPr>
    </w:p>
    <w:p w14:paraId="144D80D4" w14:textId="77777777" w:rsidR="00AE2D9D" w:rsidRPr="00AE2D9D" w:rsidRDefault="00AE2D9D" w:rsidP="00D32FB7">
      <w:pPr>
        <w:snapToGrid w:val="0"/>
        <w:spacing w:before="120" w:after="240"/>
        <w:rPr>
          <w:u w:val="single"/>
        </w:rPr>
      </w:pPr>
      <w:r w:rsidRPr="00AE2D9D">
        <w:rPr>
          <w:u w:val="single"/>
        </w:rPr>
        <w:t xml:space="preserve">Issue 7: Information exchange related to </w:t>
      </w:r>
      <w:proofErr w:type="spellStart"/>
      <w:r w:rsidRPr="00AE2D9D">
        <w:rPr>
          <w:u w:val="single"/>
        </w:rPr>
        <w:t>mIAB</w:t>
      </w:r>
      <w:proofErr w:type="spellEnd"/>
      <w:r w:rsidRPr="00AE2D9D">
        <w:rPr>
          <w:u w:val="single"/>
        </w:rPr>
        <w:t xml:space="preserve">-node </w:t>
      </w:r>
      <w:proofErr w:type="gramStart"/>
      <w:r w:rsidRPr="00AE2D9D">
        <w:rPr>
          <w:u w:val="single"/>
        </w:rPr>
        <w:t>authorization</w:t>
      </w:r>
      <w:proofErr w:type="gramEnd"/>
      <w:r w:rsidRPr="00AE2D9D">
        <w:rPr>
          <w:u w:val="single"/>
        </w:rPr>
        <w:t xml:space="preserve"> </w:t>
      </w:r>
    </w:p>
    <w:p w14:paraId="5DB479C5" w14:textId="4A685841" w:rsidR="00AE2D9D" w:rsidRPr="00186BFE" w:rsidRDefault="00AE2D9D" w:rsidP="00D32FB7">
      <w:pPr>
        <w:spacing w:before="120" w:after="240"/>
        <w:rPr>
          <w:b/>
          <w:bCs/>
        </w:rPr>
      </w:pPr>
      <w:r w:rsidRPr="00672024">
        <w:rPr>
          <w:b/>
          <w:bCs/>
        </w:rPr>
        <w:t xml:space="preserve">Proposal </w:t>
      </w:r>
      <w:r>
        <w:rPr>
          <w:b/>
          <w:bCs/>
        </w:rPr>
        <w:t>7a</w:t>
      </w:r>
      <w:r w:rsidRPr="00672024">
        <w:rPr>
          <w:b/>
          <w:bCs/>
        </w:rPr>
        <w:t xml:space="preserve">: </w:t>
      </w:r>
      <w:r w:rsidRPr="00186BFE">
        <w:rPr>
          <w:b/>
          <w:bCs/>
        </w:rPr>
        <w:t xml:space="preserve">The MT’s CU needs to send an indication to the DU’s CU </w:t>
      </w:r>
      <w:r w:rsidR="00813F30">
        <w:rPr>
          <w:b/>
          <w:bCs/>
        </w:rPr>
        <w:t>in case</w:t>
      </w:r>
      <w:r w:rsidRPr="00186BFE">
        <w:rPr>
          <w:b/>
          <w:bCs/>
        </w:rPr>
        <w:t xml:space="preserve"> the </w:t>
      </w:r>
      <w:proofErr w:type="spellStart"/>
      <w:r w:rsidRPr="00186BFE">
        <w:rPr>
          <w:b/>
          <w:bCs/>
        </w:rPr>
        <w:t>mIAB</w:t>
      </w:r>
      <w:proofErr w:type="spellEnd"/>
      <w:r w:rsidRPr="00186BFE">
        <w:rPr>
          <w:b/>
          <w:bCs/>
        </w:rPr>
        <w:t>-node’s authorization state has changed to “non-authorized”.</w:t>
      </w:r>
      <w:r>
        <w:rPr>
          <w:b/>
          <w:bCs/>
        </w:rPr>
        <w:t xml:space="preserve"> </w:t>
      </w:r>
    </w:p>
    <w:p w14:paraId="5C607768" w14:textId="193FC365" w:rsidR="00AE2D9D" w:rsidRPr="00186BFE" w:rsidRDefault="00AE2D9D" w:rsidP="00D32FB7">
      <w:pPr>
        <w:spacing w:before="120" w:after="240"/>
        <w:rPr>
          <w:b/>
          <w:bCs/>
        </w:rPr>
      </w:pPr>
      <w:r w:rsidRPr="00672024">
        <w:rPr>
          <w:b/>
          <w:bCs/>
        </w:rPr>
        <w:t xml:space="preserve">Proposal </w:t>
      </w:r>
      <w:r>
        <w:rPr>
          <w:b/>
          <w:bCs/>
        </w:rPr>
        <w:t>7b</w:t>
      </w:r>
      <w:r w:rsidRPr="00672024">
        <w:rPr>
          <w:b/>
          <w:bCs/>
        </w:rPr>
        <w:t xml:space="preserve">: </w:t>
      </w:r>
      <w:r w:rsidRPr="00186BFE">
        <w:rPr>
          <w:b/>
          <w:bCs/>
        </w:rPr>
        <w:t xml:space="preserve">The </w:t>
      </w:r>
      <w:r>
        <w:rPr>
          <w:b/>
          <w:bCs/>
        </w:rPr>
        <w:t xml:space="preserve">IAB-node obtains information that its authorization state has changed to “authorized” </w:t>
      </w:r>
      <w:r w:rsidR="00813F30">
        <w:rPr>
          <w:b/>
          <w:bCs/>
        </w:rPr>
        <w:t xml:space="preserve">or “non-authorized” </w:t>
      </w:r>
      <w:r>
        <w:rPr>
          <w:b/>
          <w:bCs/>
        </w:rPr>
        <w:t xml:space="preserve">via NAS, i.e., there is no need for </w:t>
      </w:r>
      <w:proofErr w:type="spellStart"/>
      <w:r>
        <w:rPr>
          <w:b/>
          <w:bCs/>
        </w:rPr>
        <w:t>signaling</w:t>
      </w:r>
      <w:proofErr w:type="spellEnd"/>
      <w:r>
        <w:rPr>
          <w:b/>
          <w:bCs/>
        </w:rPr>
        <w:t xml:space="preserve"> by RAN. </w:t>
      </w:r>
    </w:p>
    <w:p w14:paraId="377F90EF" w14:textId="77777777" w:rsidR="00AE2D9D" w:rsidRPr="00186BFE" w:rsidRDefault="00AE2D9D" w:rsidP="00D32FB7">
      <w:pPr>
        <w:spacing w:before="120" w:after="240"/>
        <w:rPr>
          <w:b/>
          <w:bCs/>
        </w:rPr>
      </w:pPr>
      <w:r w:rsidRPr="00672024">
        <w:rPr>
          <w:b/>
          <w:bCs/>
        </w:rPr>
        <w:t xml:space="preserve">Proposal </w:t>
      </w:r>
      <w:r>
        <w:rPr>
          <w:b/>
          <w:bCs/>
        </w:rPr>
        <w:t>7c</w:t>
      </w:r>
      <w:r w:rsidRPr="00672024">
        <w:rPr>
          <w:b/>
          <w:bCs/>
        </w:rPr>
        <w:t xml:space="preserve">: </w:t>
      </w:r>
      <w:r w:rsidRPr="00186BFE">
        <w:rPr>
          <w:b/>
          <w:bCs/>
        </w:rPr>
        <w:t xml:space="preserve">The </w:t>
      </w:r>
      <w:r>
        <w:rPr>
          <w:b/>
          <w:bCs/>
        </w:rPr>
        <w:t xml:space="preserve">IAB-node’s authorization state to be explicitly included in the HO Request during MT migration. </w:t>
      </w:r>
    </w:p>
    <w:p w14:paraId="7F9A5B2E" w14:textId="1B80C4DC" w:rsidR="00CD4C7B" w:rsidRPr="00320A6B" w:rsidRDefault="00CD4C7B" w:rsidP="00993C96">
      <w:pPr>
        <w:pStyle w:val="Heading1"/>
      </w:pPr>
      <w:r w:rsidRPr="00320A6B">
        <w:t>References</w:t>
      </w:r>
    </w:p>
    <w:p w14:paraId="34A16E66" w14:textId="30427633"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w:t>
      </w:r>
      <w:r w:rsidR="00637B59">
        <w:rPr>
          <w:lang w:val="en-US" w:eastAsia="zh-CN"/>
        </w:rPr>
        <w:t>120</w:t>
      </w:r>
      <w:r w:rsidR="00713611" w:rsidRPr="00213E7A">
        <w:rPr>
          <w:lang w:val="en-US" w:eastAsia="zh-CN"/>
        </w:rPr>
        <w:t xml:space="preserve">, </w:t>
      </w:r>
      <w:r w:rsidR="00637B59">
        <w:rPr>
          <w:lang w:val="en-US" w:eastAsia="zh-CN"/>
        </w:rPr>
        <w:t>Incheon, Korea</w:t>
      </w:r>
      <w:r w:rsidR="00713611" w:rsidRPr="00213E7A">
        <w:rPr>
          <w:lang w:val="en-US" w:eastAsia="zh-CN"/>
        </w:rPr>
        <w:t xml:space="preserve">, </w:t>
      </w:r>
      <w:r w:rsidR="00637B59">
        <w:rPr>
          <w:lang w:val="en-US" w:eastAsia="zh-CN"/>
        </w:rPr>
        <w:t>May</w:t>
      </w:r>
      <w:r w:rsidR="00713611" w:rsidRPr="00213E7A">
        <w:rPr>
          <w:lang w:val="en-US" w:eastAsia="zh-CN"/>
        </w:rPr>
        <w:t xml:space="preserve"> 202</w:t>
      </w:r>
      <w:r w:rsidR="00E62D5D">
        <w:rPr>
          <w:lang w:val="en-US" w:eastAsia="zh-CN"/>
        </w:rPr>
        <w:t>3</w:t>
      </w:r>
      <w:r w:rsidR="00713611" w:rsidRPr="00213E7A">
        <w:rPr>
          <w:lang w:val="en-US" w:eastAsia="zh-CN"/>
        </w:rPr>
        <w:t xml:space="preserve">.                                                                        </w:t>
      </w:r>
    </w:p>
    <w:bookmarkEnd w:id="3"/>
    <w:p w14:paraId="52E87212" w14:textId="24A1A4CA" w:rsidR="00672228" w:rsidRDefault="00672228" w:rsidP="0067222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w:t>
      </w:r>
      <w:r>
        <w:rPr>
          <w:lang w:val="en-US" w:eastAsia="zh-CN"/>
        </w:rPr>
        <w:t>119bise</w:t>
      </w:r>
      <w:r w:rsidRPr="00213E7A">
        <w:rPr>
          <w:lang w:val="en-US" w:eastAsia="zh-CN"/>
        </w:rPr>
        <w:t xml:space="preserve">, </w:t>
      </w:r>
      <w:r>
        <w:rPr>
          <w:lang w:val="en-US" w:eastAsia="zh-CN"/>
        </w:rPr>
        <w:t>E-meeting</w:t>
      </w:r>
      <w:r w:rsidRPr="00213E7A">
        <w:rPr>
          <w:lang w:val="en-US" w:eastAsia="zh-CN"/>
        </w:rPr>
        <w:t xml:space="preserve">, </w:t>
      </w:r>
      <w:r>
        <w:rPr>
          <w:lang w:val="en-US" w:eastAsia="zh-CN"/>
        </w:rPr>
        <w:t>April</w:t>
      </w:r>
      <w:r w:rsidRPr="00213E7A">
        <w:rPr>
          <w:lang w:val="en-US" w:eastAsia="zh-CN"/>
        </w:rPr>
        <w:t xml:space="preserve"> 202</w:t>
      </w:r>
      <w:r>
        <w:rPr>
          <w:lang w:val="en-US" w:eastAsia="zh-CN"/>
        </w:rPr>
        <w:t>3</w:t>
      </w:r>
      <w:r w:rsidRPr="00213E7A">
        <w:rPr>
          <w:lang w:val="en-US" w:eastAsia="zh-CN"/>
        </w:rPr>
        <w:t xml:space="preserve">.                                                                        </w:t>
      </w:r>
    </w:p>
    <w:p w14:paraId="18A8108C" w14:textId="73A2B866" w:rsidR="00080512" w:rsidRDefault="00080512" w:rsidP="00D8089E">
      <w:pPr>
        <w:overflowPunct w:val="0"/>
        <w:autoSpaceDE w:val="0"/>
        <w:autoSpaceDN w:val="0"/>
        <w:adjustRightInd w:val="0"/>
        <w:textAlignment w:val="baseline"/>
        <w:rPr>
          <w:lang w:val="en-US"/>
        </w:rPr>
      </w:pPr>
    </w:p>
    <w:sectPr w:rsidR="0008051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DB8BA" w14:textId="77777777" w:rsidR="00BA59A6" w:rsidRDefault="00BA59A6">
      <w:r>
        <w:separator/>
      </w:r>
    </w:p>
  </w:endnote>
  <w:endnote w:type="continuationSeparator" w:id="0">
    <w:p w14:paraId="51D3985D" w14:textId="77777777" w:rsidR="00BA59A6" w:rsidRDefault="00BA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56C10" w14:textId="77777777" w:rsidR="00BA59A6" w:rsidRDefault="00BA59A6">
      <w:r>
        <w:separator/>
      </w:r>
    </w:p>
  </w:footnote>
  <w:footnote w:type="continuationSeparator" w:id="0">
    <w:p w14:paraId="6C08FC8D" w14:textId="77777777" w:rsidR="00BA59A6" w:rsidRDefault="00BA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762FA"/>
    <w:multiLevelType w:val="hybridMultilevel"/>
    <w:tmpl w:val="E3A6D914"/>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911AF"/>
    <w:multiLevelType w:val="hybridMultilevel"/>
    <w:tmpl w:val="66240572"/>
    <w:lvl w:ilvl="0" w:tplc="8028F6D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B34FF"/>
    <w:multiLevelType w:val="hybridMultilevel"/>
    <w:tmpl w:val="D08C1F64"/>
    <w:lvl w:ilvl="0" w:tplc="7CA8A6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1DF20741"/>
    <w:multiLevelType w:val="hybridMultilevel"/>
    <w:tmpl w:val="CDC8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732BF"/>
    <w:multiLevelType w:val="hybridMultilevel"/>
    <w:tmpl w:val="B63A80BE"/>
    <w:lvl w:ilvl="0" w:tplc="D57C87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2D6296F"/>
    <w:multiLevelType w:val="hybridMultilevel"/>
    <w:tmpl w:val="8A5A38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04B91"/>
    <w:multiLevelType w:val="hybridMultilevel"/>
    <w:tmpl w:val="A720E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3B2646"/>
    <w:multiLevelType w:val="hybridMultilevel"/>
    <w:tmpl w:val="299A59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5F0AA4"/>
    <w:multiLevelType w:val="hybridMultilevel"/>
    <w:tmpl w:val="E6108962"/>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067E6"/>
    <w:multiLevelType w:val="hybridMultilevel"/>
    <w:tmpl w:val="F1C22AA6"/>
    <w:lvl w:ilvl="0" w:tplc="D1B23D4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E018E"/>
    <w:multiLevelType w:val="hybridMultilevel"/>
    <w:tmpl w:val="86DE9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8"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21854"/>
    <w:multiLevelType w:val="hybridMultilevel"/>
    <w:tmpl w:val="4A64599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9422C72"/>
    <w:multiLevelType w:val="hybridMultilevel"/>
    <w:tmpl w:val="AF5AB85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73374"/>
    <w:multiLevelType w:val="hybridMultilevel"/>
    <w:tmpl w:val="4A64599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6C19A1"/>
    <w:multiLevelType w:val="hybridMultilevel"/>
    <w:tmpl w:val="80DC0F76"/>
    <w:lvl w:ilvl="0" w:tplc="4ABED8B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795934">
    <w:abstractNumId w:val="18"/>
  </w:num>
  <w:num w:numId="2" w16cid:durableId="1145202652">
    <w:abstractNumId w:val="27"/>
  </w:num>
  <w:num w:numId="3" w16cid:durableId="446775667">
    <w:abstractNumId w:val="23"/>
  </w:num>
  <w:num w:numId="4" w16cid:durableId="232207417">
    <w:abstractNumId w:val="32"/>
  </w:num>
  <w:num w:numId="5" w16cid:durableId="2103141957">
    <w:abstractNumId w:val="19"/>
  </w:num>
  <w:num w:numId="6" w16cid:durableId="1145314427">
    <w:abstractNumId w:val="3"/>
  </w:num>
  <w:num w:numId="7" w16cid:durableId="1049499485">
    <w:abstractNumId w:val="6"/>
  </w:num>
  <w:num w:numId="8" w16cid:durableId="1285892933">
    <w:abstractNumId w:val="0"/>
  </w:num>
  <w:num w:numId="9" w16cid:durableId="1872450421">
    <w:abstractNumId w:val="27"/>
  </w:num>
  <w:num w:numId="10" w16cid:durableId="430978753">
    <w:abstractNumId w:val="21"/>
  </w:num>
  <w:num w:numId="11" w16cid:durableId="58408255">
    <w:abstractNumId w:val="27"/>
  </w:num>
  <w:num w:numId="12" w16cid:durableId="2130471012">
    <w:abstractNumId w:val="27"/>
  </w:num>
  <w:num w:numId="13" w16cid:durableId="1185557473">
    <w:abstractNumId w:val="27"/>
  </w:num>
  <w:num w:numId="14" w16cid:durableId="1096635148">
    <w:abstractNumId w:val="27"/>
  </w:num>
  <w:num w:numId="15" w16cid:durableId="2126775253">
    <w:abstractNumId w:val="27"/>
  </w:num>
  <w:num w:numId="16" w16cid:durableId="988480931">
    <w:abstractNumId w:val="27"/>
  </w:num>
  <w:num w:numId="17" w16cid:durableId="1390573366">
    <w:abstractNumId w:val="27"/>
  </w:num>
  <w:num w:numId="18" w16cid:durableId="1323268711">
    <w:abstractNumId w:val="12"/>
  </w:num>
  <w:num w:numId="19" w16cid:durableId="155074071">
    <w:abstractNumId w:val="27"/>
  </w:num>
  <w:num w:numId="20" w16cid:durableId="1969509300">
    <w:abstractNumId w:val="27"/>
  </w:num>
  <w:num w:numId="21" w16cid:durableId="887378619">
    <w:abstractNumId w:val="2"/>
  </w:num>
  <w:num w:numId="22" w16cid:durableId="472331912">
    <w:abstractNumId w:val="17"/>
  </w:num>
  <w:num w:numId="23" w16cid:durableId="2110272792">
    <w:abstractNumId w:val="14"/>
  </w:num>
  <w:num w:numId="24" w16cid:durableId="1922715219">
    <w:abstractNumId w:val="5"/>
  </w:num>
  <w:num w:numId="25" w16cid:durableId="272367804">
    <w:abstractNumId w:val="4"/>
  </w:num>
  <w:num w:numId="26" w16cid:durableId="650133289">
    <w:abstractNumId w:val="20"/>
  </w:num>
  <w:num w:numId="27" w16cid:durableId="1038892141">
    <w:abstractNumId w:val="27"/>
  </w:num>
  <w:num w:numId="28" w16cid:durableId="1749882044">
    <w:abstractNumId w:val="28"/>
  </w:num>
  <w:num w:numId="29" w16cid:durableId="932858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943038">
    <w:abstractNumId w:val="11"/>
  </w:num>
  <w:num w:numId="31" w16cid:durableId="1429694146">
    <w:abstractNumId w:val="25"/>
  </w:num>
  <w:num w:numId="32" w16cid:durableId="334309277">
    <w:abstractNumId w:val="29"/>
  </w:num>
  <w:num w:numId="33" w16cid:durableId="558171083">
    <w:abstractNumId w:val="31"/>
  </w:num>
  <w:num w:numId="34" w16cid:durableId="1976333030">
    <w:abstractNumId w:val="7"/>
  </w:num>
  <w:num w:numId="35" w16cid:durableId="554048139">
    <w:abstractNumId w:val="13"/>
  </w:num>
  <w:num w:numId="36" w16cid:durableId="725958587">
    <w:abstractNumId w:val="33"/>
  </w:num>
  <w:num w:numId="37" w16cid:durableId="694891904">
    <w:abstractNumId w:val="8"/>
  </w:num>
  <w:num w:numId="38" w16cid:durableId="438792471">
    <w:abstractNumId w:val="1"/>
  </w:num>
  <w:num w:numId="39" w16cid:durableId="2078504612">
    <w:abstractNumId w:val="22"/>
  </w:num>
  <w:num w:numId="40" w16cid:durableId="238906966">
    <w:abstractNumId w:val="9"/>
  </w:num>
  <w:num w:numId="41" w16cid:durableId="1497451089">
    <w:abstractNumId w:val="24"/>
  </w:num>
  <w:num w:numId="42" w16cid:durableId="841704569">
    <w:abstractNumId w:val="16"/>
  </w:num>
  <w:num w:numId="43" w16cid:durableId="901792085">
    <w:abstractNumId w:val="15"/>
  </w:num>
  <w:num w:numId="44" w16cid:durableId="1147358324">
    <w:abstractNumId w:val="26"/>
  </w:num>
  <w:num w:numId="45" w16cid:durableId="1673676447">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FC6"/>
    <w:rsid w:val="00025A5E"/>
    <w:rsid w:val="00025CE4"/>
    <w:rsid w:val="00026FC4"/>
    <w:rsid w:val="00027E46"/>
    <w:rsid w:val="000305FF"/>
    <w:rsid w:val="000308BC"/>
    <w:rsid w:val="00030D3B"/>
    <w:rsid w:val="00030DC5"/>
    <w:rsid w:val="00030F55"/>
    <w:rsid w:val="0003101C"/>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D6B"/>
    <w:rsid w:val="00065EDF"/>
    <w:rsid w:val="00066096"/>
    <w:rsid w:val="00071167"/>
    <w:rsid w:val="000716A1"/>
    <w:rsid w:val="00072CA0"/>
    <w:rsid w:val="000732E0"/>
    <w:rsid w:val="00073EB1"/>
    <w:rsid w:val="00074261"/>
    <w:rsid w:val="0007762E"/>
    <w:rsid w:val="00077C88"/>
    <w:rsid w:val="00080512"/>
    <w:rsid w:val="000812F8"/>
    <w:rsid w:val="00083B66"/>
    <w:rsid w:val="00084591"/>
    <w:rsid w:val="00085DB3"/>
    <w:rsid w:val="000860E7"/>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6935"/>
    <w:rsid w:val="000B0C46"/>
    <w:rsid w:val="000B19D0"/>
    <w:rsid w:val="000B21D7"/>
    <w:rsid w:val="000B3985"/>
    <w:rsid w:val="000B4D19"/>
    <w:rsid w:val="000B66F6"/>
    <w:rsid w:val="000B72C5"/>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1232"/>
    <w:rsid w:val="00101BA1"/>
    <w:rsid w:val="00102DAD"/>
    <w:rsid w:val="00104704"/>
    <w:rsid w:val="00106455"/>
    <w:rsid w:val="00106BD8"/>
    <w:rsid w:val="00107EE0"/>
    <w:rsid w:val="001106ED"/>
    <w:rsid w:val="00111B2B"/>
    <w:rsid w:val="0011222A"/>
    <w:rsid w:val="00113088"/>
    <w:rsid w:val="0011470F"/>
    <w:rsid w:val="001158B5"/>
    <w:rsid w:val="00116DE8"/>
    <w:rsid w:val="00117039"/>
    <w:rsid w:val="0011785C"/>
    <w:rsid w:val="00120844"/>
    <w:rsid w:val="00120C85"/>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68A4"/>
    <w:rsid w:val="00157634"/>
    <w:rsid w:val="0015777C"/>
    <w:rsid w:val="00157A0F"/>
    <w:rsid w:val="00157B0B"/>
    <w:rsid w:val="00160171"/>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4CC5"/>
    <w:rsid w:val="00194CD0"/>
    <w:rsid w:val="00195FA4"/>
    <w:rsid w:val="001961ED"/>
    <w:rsid w:val="00196C23"/>
    <w:rsid w:val="0019788E"/>
    <w:rsid w:val="001A16DE"/>
    <w:rsid w:val="001A2942"/>
    <w:rsid w:val="001A2B4C"/>
    <w:rsid w:val="001A4377"/>
    <w:rsid w:val="001A5335"/>
    <w:rsid w:val="001A6D8E"/>
    <w:rsid w:val="001A7342"/>
    <w:rsid w:val="001A773C"/>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E2007"/>
    <w:rsid w:val="001E284D"/>
    <w:rsid w:val="001E53A0"/>
    <w:rsid w:val="001E5C04"/>
    <w:rsid w:val="001E70D7"/>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607B"/>
    <w:rsid w:val="00236E01"/>
    <w:rsid w:val="0024006E"/>
    <w:rsid w:val="00242D19"/>
    <w:rsid w:val="0024485F"/>
    <w:rsid w:val="00245A2A"/>
    <w:rsid w:val="00245B7D"/>
    <w:rsid w:val="00250812"/>
    <w:rsid w:val="00250B04"/>
    <w:rsid w:val="00253E0B"/>
    <w:rsid w:val="0025406F"/>
    <w:rsid w:val="00256B66"/>
    <w:rsid w:val="002576F5"/>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3238"/>
    <w:rsid w:val="002855BF"/>
    <w:rsid w:val="002879DE"/>
    <w:rsid w:val="00290FC1"/>
    <w:rsid w:val="002917DD"/>
    <w:rsid w:val="00291D55"/>
    <w:rsid w:val="00293031"/>
    <w:rsid w:val="00293D82"/>
    <w:rsid w:val="00293E6F"/>
    <w:rsid w:val="002956AA"/>
    <w:rsid w:val="00295765"/>
    <w:rsid w:val="002966A8"/>
    <w:rsid w:val="002967F0"/>
    <w:rsid w:val="002A00A9"/>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BF"/>
    <w:rsid w:val="0030112A"/>
    <w:rsid w:val="003012EC"/>
    <w:rsid w:val="00301D2E"/>
    <w:rsid w:val="0030249C"/>
    <w:rsid w:val="003040FF"/>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2E6"/>
    <w:rsid w:val="00323500"/>
    <w:rsid w:val="00323E0C"/>
    <w:rsid w:val="00326069"/>
    <w:rsid w:val="00326242"/>
    <w:rsid w:val="00326661"/>
    <w:rsid w:val="00330542"/>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BEB"/>
    <w:rsid w:val="00365F59"/>
    <w:rsid w:val="00365F68"/>
    <w:rsid w:val="00366CBB"/>
    <w:rsid w:val="003671E2"/>
    <w:rsid w:val="0036720B"/>
    <w:rsid w:val="0037012C"/>
    <w:rsid w:val="00371744"/>
    <w:rsid w:val="00372D36"/>
    <w:rsid w:val="00372DAD"/>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3B29"/>
    <w:rsid w:val="0039404A"/>
    <w:rsid w:val="00394322"/>
    <w:rsid w:val="00394B46"/>
    <w:rsid w:val="00395806"/>
    <w:rsid w:val="003A07EE"/>
    <w:rsid w:val="003A0E76"/>
    <w:rsid w:val="003A1265"/>
    <w:rsid w:val="003A16C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61D"/>
    <w:rsid w:val="003D6072"/>
    <w:rsid w:val="003D6FB3"/>
    <w:rsid w:val="003D7042"/>
    <w:rsid w:val="003E16BE"/>
    <w:rsid w:val="003E1F2D"/>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A80"/>
    <w:rsid w:val="004223D5"/>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8C9"/>
    <w:rsid w:val="00443341"/>
    <w:rsid w:val="004450F7"/>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E9F"/>
    <w:rsid w:val="00485492"/>
    <w:rsid w:val="00485BDB"/>
    <w:rsid w:val="004864C2"/>
    <w:rsid w:val="00487246"/>
    <w:rsid w:val="004906C5"/>
    <w:rsid w:val="00492258"/>
    <w:rsid w:val="00492558"/>
    <w:rsid w:val="0049656C"/>
    <w:rsid w:val="004972DD"/>
    <w:rsid w:val="004A0319"/>
    <w:rsid w:val="004A0CBC"/>
    <w:rsid w:val="004A2B72"/>
    <w:rsid w:val="004A32F3"/>
    <w:rsid w:val="004A3938"/>
    <w:rsid w:val="004A455F"/>
    <w:rsid w:val="004A4700"/>
    <w:rsid w:val="004A5076"/>
    <w:rsid w:val="004A59FA"/>
    <w:rsid w:val="004A66BE"/>
    <w:rsid w:val="004A68F4"/>
    <w:rsid w:val="004A7304"/>
    <w:rsid w:val="004B05FB"/>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E7C"/>
    <w:rsid w:val="004D0D29"/>
    <w:rsid w:val="004D14C3"/>
    <w:rsid w:val="004D1DC6"/>
    <w:rsid w:val="004D34F9"/>
    <w:rsid w:val="004D3578"/>
    <w:rsid w:val="004D380D"/>
    <w:rsid w:val="004D4073"/>
    <w:rsid w:val="004E0C79"/>
    <w:rsid w:val="004E213A"/>
    <w:rsid w:val="004E2917"/>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4312"/>
    <w:rsid w:val="00534DA0"/>
    <w:rsid w:val="0053506A"/>
    <w:rsid w:val="00536773"/>
    <w:rsid w:val="00540007"/>
    <w:rsid w:val="0054159D"/>
    <w:rsid w:val="005422C1"/>
    <w:rsid w:val="0054296F"/>
    <w:rsid w:val="00543E6C"/>
    <w:rsid w:val="00543F5F"/>
    <w:rsid w:val="00544A36"/>
    <w:rsid w:val="00546151"/>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A54"/>
    <w:rsid w:val="00597AA1"/>
    <w:rsid w:val="005A0B84"/>
    <w:rsid w:val="005A14B6"/>
    <w:rsid w:val="005A166D"/>
    <w:rsid w:val="005A2CAD"/>
    <w:rsid w:val="005A3B28"/>
    <w:rsid w:val="005A6916"/>
    <w:rsid w:val="005A71C1"/>
    <w:rsid w:val="005B1A24"/>
    <w:rsid w:val="005B1DC5"/>
    <w:rsid w:val="005B249B"/>
    <w:rsid w:val="005B25C1"/>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1B6"/>
    <w:rsid w:val="00603219"/>
    <w:rsid w:val="00605118"/>
    <w:rsid w:val="006067A4"/>
    <w:rsid w:val="00610359"/>
    <w:rsid w:val="006112AF"/>
    <w:rsid w:val="006114FE"/>
    <w:rsid w:val="00611566"/>
    <w:rsid w:val="00611F13"/>
    <w:rsid w:val="00613340"/>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80B"/>
    <w:rsid w:val="006250A5"/>
    <w:rsid w:val="006254F4"/>
    <w:rsid w:val="00626696"/>
    <w:rsid w:val="0062739F"/>
    <w:rsid w:val="00631DBD"/>
    <w:rsid w:val="00632222"/>
    <w:rsid w:val="00633FF0"/>
    <w:rsid w:val="006344B8"/>
    <w:rsid w:val="00635F47"/>
    <w:rsid w:val="006365BD"/>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0C3A"/>
    <w:rsid w:val="006616ED"/>
    <w:rsid w:val="00662592"/>
    <w:rsid w:val="0066344B"/>
    <w:rsid w:val="006645DE"/>
    <w:rsid w:val="00665BE7"/>
    <w:rsid w:val="00666483"/>
    <w:rsid w:val="00666DD5"/>
    <w:rsid w:val="006678B0"/>
    <w:rsid w:val="00667AA2"/>
    <w:rsid w:val="00670013"/>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4425"/>
    <w:rsid w:val="006856CF"/>
    <w:rsid w:val="0068681F"/>
    <w:rsid w:val="0068738A"/>
    <w:rsid w:val="006901D6"/>
    <w:rsid w:val="00690205"/>
    <w:rsid w:val="00690CE5"/>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BBC"/>
    <w:rsid w:val="006A334F"/>
    <w:rsid w:val="006A456D"/>
    <w:rsid w:val="006A5153"/>
    <w:rsid w:val="006A5209"/>
    <w:rsid w:val="006A54BE"/>
    <w:rsid w:val="006A5837"/>
    <w:rsid w:val="006A6944"/>
    <w:rsid w:val="006B0254"/>
    <w:rsid w:val="006B3A5A"/>
    <w:rsid w:val="006B4D84"/>
    <w:rsid w:val="006B605E"/>
    <w:rsid w:val="006B6466"/>
    <w:rsid w:val="006B7943"/>
    <w:rsid w:val="006B7B32"/>
    <w:rsid w:val="006C0FBC"/>
    <w:rsid w:val="006C3613"/>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E95"/>
    <w:rsid w:val="006F78E6"/>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4A5B"/>
    <w:rsid w:val="00734CEE"/>
    <w:rsid w:val="00735E81"/>
    <w:rsid w:val="00735F8A"/>
    <w:rsid w:val="00740946"/>
    <w:rsid w:val="007418B7"/>
    <w:rsid w:val="00741E7A"/>
    <w:rsid w:val="00744E76"/>
    <w:rsid w:val="007458A9"/>
    <w:rsid w:val="007460EF"/>
    <w:rsid w:val="00747A03"/>
    <w:rsid w:val="00747D0A"/>
    <w:rsid w:val="007504A9"/>
    <w:rsid w:val="00750722"/>
    <w:rsid w:val="0075199C"/>
    <w:rsid w:val="00753591"/>
    <w:rsid w:val="007542F1"/>
    <w:rsid w:val="007565AD"/>
    <w:rsid w:val="00757D40"/>
    <w:rsid w:val="00761043"/>
    <w:rsid w:val="007636D3"/>
    <w:rsid w:val="007658B7"/>
    <w:rsid w:val="007665C4"/>
    <w:rsid w:val="00766A4F"/>
    <w:rsid w:val="0076792F"/>
    <w:rsid w:val="0076795C"/>
    <w:rsid w:val="00771416"/>
    <w:rsid w:val="0077195B"/>
    <w:rsid w:val="00771BCD"/>
    <w:rsid w:val="00773ACB"/>
    <w:rsid w:val="00776516"/>
    <w:rsid w:val="00776C2C"/>
    <w:rsid w:val="0077721F"/>
    <w:rsid w:val="00777E79"/>
    <w:rsid w:val="007811A2"/>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8D8"/>
    <w:rsid w:val="007B30D3"/>
    <w:rsid w:val="007B322E"/>
    <w:rsid w:val="007B3472"/>
    <w:rsid w:val="007B5408"/>
    <w:rsid w:val="007B579C"/>
    <w:rsid w:val="007B5C20"/>
    <w:rsid w:val="007B7D44"/>
    <w:rsid w:val="007C095F"/>
    <w:rsid w:val="007C1897"/>
    <w:rsid w:val="007C1BBD"/>
    <w:rsid w:val="007C2012"/>
    <w:rsid w:val="007C2977"/>
    <w:rsid w:val="007C378F"/>
    <w:rsid w:val="007C4A37"/>
    <w:rsid w:val="007C603F"/>
    <w:rsid w:val="007C67D2"/>
    <w:rsid w:val="007C77C4"/>
    <w:rsid w:val="007D0D5E"/>
    <w:rsid w:val="007D107C"/>
    <w:rsid w:val="007D1FD5"/>
    <w:rsid w:val="007D2B68"/>
    <w:rsid w:val="007D309E"/>
    <w:rsid w:val="007D3480"/>
    <w:rsid w:val="007D40D6"/>
    <w:rsid w:val="007D4B38"/>
    <w:rsid w:val="007D5BED"/>
    <w:rsid w:val="007D5EF6"/>
    <w:rsid w:val="007D692E"/>
    <w:rsid w:val="007D7D25"/>
    <w:rsid w:val="007E0F38"/>
    <w:rsid w:val="007E19F8"/>
    <w:rsid w:val="007E3A91"/>
    <w:rsid w:val="007E4556"/>
    <w:rsid w:val="007E457A"/>
    <w:rsid w:val="007E515A"/>
    <w:rsid w:val="007F01E1"/>
    <w:rsid w:val="007F04EE"/>
    <w:rsid w:val="007F14AD"/>
    <w:rsid w:val="007F31EB"/>
    <w:rsid w:val="007F3C30"/>
    <w:rsid w:val="007F410B"/>
    <w:rsid w:val="007F448E"/>
    <w:rsid w:val="007F6144"/>
    <w:rsid w:val="007F7268"/>
    <w:rsid w:val="007F7342"/>
    <w:rsid w:val="00800D57"/>
    <w:rsid w:val="00801BBB"/>
    <w:rsid w:val="008028A4"/>
    <w:rsid w:val="0080333D"/>
    <w:rsid w:val="00804321"/>
    <w:rsid w:val="00805E0B"/>
    <w:rsid w:val="00806310"/>
    <w:rsid w:val="00810D77"/>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EC7"/>
    <w:rsid w:val="008320DC"/>
    <w:rsid w:val="008324A5"/>
    <w:rsid w:val="00833C42"/>
    <w:rsid w:val="008343D1"/>
    <w:rsid w:val="00834604"/>
    <w:rsid w:val="00834A6D"/>
    <w:rsid w:val="00835990"/>
    <w:rsid w:val="00836FB7"/>
    <w:rsid w:val="00844775"/>
    <w:rsid w:val="00845C7D"/>
    <w:rsid w:val="00845E80"/>
    <w:rsid w:val="008461F0"/>
    <w:rsid w:val="0084763A"/>
    <w:rsid w:val="00850785"/>
    <w:rsid w:val="00850942"/>
    <w:rsid w:val="00850BBB"/>
    <w:rsid w:val="00854A4F"/>
    <w:rsid w:val="008555AC"/>
    <w:rsid w:val="00856127"/>
    <w:rsid w:val="0085698E"/>
    <w:rsid w:val="008571AD"/>
    <w:rsid w:val="00857756"/>
    <w:rsid w:val="00860820"/>
    <w:rsid w:val="00860D01"/>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E1092"/>
    <w:rsid w:val="008E131E"/>
    <w:rsid w:val="008E2B18"/>
    <w:rsid w:val="008E3326"/>
    <w:rsid w:val="008E345E"/>
    <w:rsid w:val="008E3B19"/>
    <w:rsid w:val="008E412B"/>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1F58"/>
    <w:rsid w:val="00922DC1"/>
    <w:rsid w:val="0092322B"/>
    <w:rsid w:val="00923CF4"/>
    <w:rsid w:val="00924D2C"/>
    <w:rsid w:val="009252BA"/>
    <w:rsid w:val="0092657D"/>
    <w:rsid w:val="009307BE"/>
    <w:rsid w:val="00931360"/>
    <w:rsid w:val="00931AF4"/>
    <w:rsid w:val="00933406"/>
    <w:rsid w:val="00933F83"/>
    <w:rsid w:val="00936071"/>
    <w:rsid w:val="00940212"/>
    <w:rsid w:val="0094197F"/>
    <w:rsid w:val="00942E6A"/>
    <w:rsid w:val="00942EC2"/>
    <w:rsid w:val="00945B30"/>
    <w:rsid w:val="0094798C"/>
    <w:rsid w:val="00952A0E"/>
    <w:rsid w:val="0095306B"/>
    <w:rsid w:val="0095382B"/>
    <w:rsid w:val="009540CA"/>
    <w:rsid w:val="009543C0"/>
    <w:rsid w:val="009553D1"/>
    <w:rsid w:val="00955470"/>
    <w:rsid w:val="00956A9D"/>
    <w:rsid w:val="00957D2B"/>
    <w:rsid w:val="00957E6F"/>
    <w:rsid w:val="00961B32"/>
    <w:rsid w:val="00962174"/>
    <w:rsid w:val="0096224D"/>
    <w:rsid w:val="0096246C"/>
    <w:rsid w:val="0096294B"/>
    <w:rsid w:val="0096408F"/>
    <w:rsid w:val="00964344"/>
    <w:rsid w:val="009648F8"/>
    <w:rsid w:val="009656AD"/>
    <w:rsid w:val="009658F8"/>
    <w:rsid w:val="00966AFE"/>
    <w:rsid w:val="009701E1"/>
    <w:rsid w:val="009709BE"/>
    <w:rsid w:val="00970DB3"/>
    <w:rsid w:val="00971212"/>
    <w:rsid w:val="009716B1"/>
    <w:rsid w:val="009738F6"/>
    <w:rsid w:val="00973E6E"/>
    <w:rsid w:val="00974940"/>
    <w:rsid w:val="00974B05"/>
    <w:rsid w:val="00974BB0"/>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6666"/>
    <w:rsid w:val="009C710F"/>
    <w:rsid w:val="009D0363"/>
    <w:rsid w:val="009D0CD3"/>
    <w:rsid w:val="009D13CA"/>
    <w:rsid w:val="009D2569"/>
    <w:rsid w:val="009D2DA6"/>
    <w:rsid w:val="009D3714"/>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5DE2"/>
    <w:rsid w:val="00A067FE"/>
    <w:rsid w:val="00A10F02"/>
    <w:rsid w:val="00A11888"/>
    <w:rsid w:val="00A11DB0"/>
    <w:rsid w:val="00A13112"/>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DCD"/>
    <w:rsid w:val="00A34086"/>
    <w:rsid w:val="00A35830"/>
    <w:rsid w:val="00A36439"/>
    <w:rsid w:val="00A41164"/>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089"/>
    <w:rsid w:val="00A566A2"/>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54D8"/>
    <w:rsid w:val="00A9671C"/>
    <w:rsid w:val="00A9769E"/>
    <w:rsid w:val="00A97749"/>
    <w:rsid w:val="00AA1553"/>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53FE"/>
    <w:rsid w:val="00AC6A7A"/>
    <w:rsid w:val="00AD0C68"/>
    <w:rsid w:val="00AD0F1D"/>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3510"/>
    <w:rsid w:val="00B046A0"/>
    <w:rsid w:val="00B0648D"/>
    <w:rsid w:val="00B07AAA"/>
    <w:rsid w:val="00B10754"/>
    <w:rsid w:val="00B1153A"/>
    <w:rsid w:val="00B11743"/>
    <w:rsid w:val="00B1192D"/>
    <w:rsid w:val="00B11CB0"/>
    <w:rsid w:val="00B12BDF"/>
    <w:rsid w:val="00B14ADF"/>
    <w:rsid w:val="00B15449"/>
    <w:rsid w:val="00B154C9"/>
    <w:rsid w:val="00B15627"/>
    <w:rsid w:val="00B15ADA"/>
    <w:rsid w:val="00B1608D"/>
    <w:rsid w:val="00B1608F"/>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D1"/>
    <w:rsid w:val="00B516BB"/>
    <w:rsid w:val="00B51B0A"/>
    <w:rsid w:val="00B5205D"/>
    <w:rsid w:val="00B53261"/>
    <w:rsid w:val="00B54665"/>
    <w:rsid w:val="00B548D7"/>
    <w:rsid w:val="00B5518A"/>
    <w:rsid w:val="00B6058A"/>
    <w:rsid w:val="00B611E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12B1"/>
    <w:rsid w:val="00B93581"/>
    <w:rsid w:val="00B95D11"/>
    <w:rsid w:val="00B95F43"/>
    <w:rsid w:val="00B96CCF"/>
    <w:rsid w:val="00B97C4B"/>
    <w:rsid w:val="00B97C71"/>
    <w:rsid w:val="00B97CBC"/>
    <w:rsid w:val="00BA2736"/>
    <w:rsid w:val="00BA2ABC"/>
    <w:rsid w:val="00BA2F53"/>
    <w:rsid w:val="00BA3230"/>
    <w:rsid w:val="00BA37B5"/>
    <w:rsid w:val="00BA3913"/>
    <w:rsid w:val="00BA59A6"/>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491B"/>
    <w:rsid w:val="00BE5261"/>
    <w:rsid w:val="00BE664B"/>
    <w:rsid w:val="00BE7500"/>
    <w:rsid w:val="00BE75A3"/>
    <w:rsid w:val="00BE7B3F"/>
    <w:rsid w:val="00BF2ADC"/>
    <w:rsid w:val="00BF2C3E"/>
    <w:rsid w:val="00BF4416"/>
    <w:rsid w:val="00BF449E"/>
    <w:rsid w:val="00BF46D7"/>
    <w:rsid w:val="00BF5561"/>
    <w:rsid w:val="00BF630D"/>
    <w:rsid w:val="00BF6EB6"/>
    <w:rsid w:val="00BF7DBE"/>
    <w:rsid w:val="00C017F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F6D"/>
    <w:rsid w:val="00C65FAE"/>
    <w:rsid w:val="00C7087A"/>
    <w:rsid w:val="00C709E8"/>
    <w:rsid w:val="00C72837"/>
    <w:rsid w:val="00C74A7B"/>
    <w:rsid w:val="00C75D02"/>
    <w:rsid w:val="00C768BB"/>
    <w:rsid w:val="00C773BD"/>
    <w:rsid w:val="00C81361"/>
    <w:rsid w:val="00C8235D"/>
    <w:rsid w:val="00C8253A"/>
    <w:rsid w:val="00C832F9"/>
    <w:rsid w:val="00C8368A"/>
    <w:rsid w:val="00C83A13"/>
    <w:rsid w:val="00C844E3"/>
    <w:rsid w:val="00C9022A"/>
    <w:rsid w:val="00C903F3"/>
    <w:rsid w:val="00C9068C"/>
    <w:rsid w:val="00C91051"/>
    <w:rsid w:val="00C9285D"/>
    <w:rsid w:val="00C92967"/>
    <w:rsid w:val="00C9499A"/>
    <w:rsid w:val="00C95642"/>
    <w:rsid w:val="00C97DD9"/>
    <w:rsid w:val="00C97EB4"/>
    <w:rsid w:val="00CA061E"/>
    <w:rsid w:val="00CA0C6F"/>
    <w:rsid w:val="00CA160C"/>
    <w:rsid w:val="00CA39A8"/>
    <w:rsid w:val="00CA3A67"/>
    <w:rsid w:val="00CA3D0C"/>
    <w:rsid w:val="00CA4CC4"/>
    <w:rsid w:val="00CA55A2"/>
    <w:rsid w:val="00CA6073"/>
    <w:rsid w:val="00CA60FE"/>
    <w:rsid w:val="00CA654B"/>
    <w:rsid w:val="00CA742A"/>
    <w:rsid w:val="00CA7FB5"/>
    <w:rsid w:val="00CB1831"/>
    <w:rsid w:val="00CB192D"/>
    <w:rsid w:val="00CB20EE"/>
    <w:rsid w:val="00CB2163"/>
    <w:rsid w:val="00CB24EA"/>
    <w:rsid w:val="00CB474B"/>
    <w:rsid w:val="00CB6655"/>
    <w:rsid w:val="00CC012E"/>
    <w:rsid w:val="00CC05BA"/>
    <w:rsid w:val="00CC13CE"/>
    <w:rsid w:val="00CC365E"/>
    <w:rsid w:val="00CC6B18"/>
    <w:rsid w:val="00CD0243"/>
    <w:rsid w:val="00CD1CFE"/>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E6D41"/>
    <w:rsid w:val="00CF07F5"/>
    <w:rsid w:val="00CF2C9F"/>
    <w:rsid w:val="00CF4477"/>
    <w:rsid w:val="00CF5B76"/>
    <w:rsid w:val="00CF5F23"/>
    <w:rsid w:val="00CF77AE"/>
    <w:rsid w:val="00D00174"/>
    <w:rsid w:val="00D02D8C"/>
    <w:rsid w:val="00D04103"/>
    <w:rsid w:val="00D048E7"/>
    <w:rsid w:val="00D05C9E"/>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67F"/>
    <w:rsid w:val="00D450E9"/>
    <w:rsid w:val="00D50FAB"/>
    <w:rsid w:val="00D543B4"/>
    <w:rsid w:val="00D548D7"/>
    <w:rsid w:val="00D54EF9"/>
    <w:rsid w:val="00D5646F"/>
    <w:rsid w:val="00D564D5"/>
    <w:rsid w:val="00D56E13"/>
    <w:rsid w:val="00D57B51"/>
    <w:rsid w:val="00D57D71"/>
    <w:rsid w:val="00D62E82"/>
    <w:rsid w:val="00D63BB4"/>
    <w:rsid w:val="00D64A86"/>
    <w:rsid w:val="00D64B2D"/>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575A"/>
    <w:rsid w:val="00DD5BF0"/>
    <w:rsid w:val="00DD6470"/>
    <w:rsid w:val="00DD6F88"/>
    <w:rsid w:val="00DD70FA"/>
    <w:rsid w:val="00DD722F"/>
    <w:rsid w:val="00DD7721"/>
    <w:rsid w:val="00DE0D91"/>
    <w:rsid w:val="00DE17D1"/>
    <w:rsid w:val="00DE44B0"/>
    <w:rsid w:val="00DE4A98"/>
    <w:rsid w:val="00DE56A5"/>
    <w:rsid w:val="00DE63F7"/>
    <w:rsid w:val="00DE6DD1"/>
    <w:rsid w:val="00DF0433"/>
    <w:rsid w:val="00DF08B7"/>
    <w:rsid w:val="00DF0C8E"/>
    <w:rsid w:val="00DF2582"/>
    <w:rsid w:val="00DF2B7B"/>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D93"/>
    <w:rsid w:val="00E432B8"/>
    <w:rsid w:val="00E44449"/>
    <w:rsid w:val="00E448A1"/>
    <w:rsid w:val="00E44B69"/>
    <w:rsid w:val="00E45328"/>
    <w:rsid w:val="00E460F2"/>
    <w:rsid w:val="00E4673B"/>
    <w:rsid w:val="00E50281"/>
    <w:rsid w:val="00E50F6F"/>
    <w:rsid w:val="00E51DC4"/>
    <w:rsid w:val="00E528F3"/>
    <w:rsid w:val="00E539D7"/>
    <w:rsid w:val="00E53CCB"/>
    <w:rsid w:val="00E54361"/>
    <w:rsid w:val="00E546AB"/>
    <w:rsid w:val="00E56EEF"/>
    <w:rsid w:val="00E57D18"/>
    <w:rsid w:val="00E60CAF"/>
    <w:rsid w:val="00E61B39"/>
    <w:rsid w:val="00E62835"/>
    <w:rsid w:val="00E62D5D"/>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487"/>
    <w:rsid w:val="00E91DDC"/>
    <w:rsid w:val="00E91FD3"/>
    <w:rsid w:val="00E925C9"/>
    <w:rsid w:val="00E9444B"/>
    <w:rsid w:val="00E94C85"/>
    <w:rsid w:val="00E95F7D"/>
    <w:rsid w:val="00E96358"/>
    <w:rsid w:val="00EA0AAF"/>
    <w:rsid w:val="00EA0B9B"/>
    <w:rsid w:val="00EA1745"/>
    <w:rsid w:val="00EA1DC3"/>
    <w:rsid w:val="00EA1ED6"/>
    <w:rsid w:val="00EA346E"/>
    <w:rsid w:val="00EA6CB4"/>
    <w:rsid w:val="00EB0940"/>
    <w:rsid w:val="00EB28EE"/>
    <w:rsid w:val="00EB2AF5"/>
    <w:rsid w:val="00EB4566"/>
    <w:rsid w:val="00EB4E5D"/>
    <w:rsid w:val="00EB564C"/>
    <w:rsid w:val="00EB64FE"/>
    <w:rsid w:val="00EB6A60"/>
    <w:rsid w:val="00EB7699"/>
    <w:rsid w:val="00EC0A52"/>
    <w:rsid w:val="00EC2DF5"/>
    <w:rsid w:val="00EC39EB"/>
    <w:rsid w:val="00EC44C4"/>
    <w:rsid w:val="00EC464F"/>
    <w:rsid w:val="00EC4A25"/>
    <w:rsid w:val="00EC5873"/>
    <w:rsid w:val="00EC5DC4"/>
    <w:rsid w:val="00EC6A06"/>
    <w:rsid w:val="00EC717A"/>
    <w:rsid w:val="00ED0185"/>
    <w:rsid w:val="00ED09BF"/>
    <w:rsid w:val="00ED128B"/>
    <w:rsid w:val="00ED1D93"/>
    <w:rsid w:val="00ED20B1"/>
    <w:rsid w:val="00ED2329"/>
    <w:rsid w:val="00ED33E0"/>
    <w:rsid w:val="00ED42B0"/>
    <w:rsid w:val="00ED43A5"/>
    <w:rsid w:val="00ED5CCC"/>
    <w:rsid w:val="00ED71CC"/>
    <w:rsid w:val="00EE0E6E"/>
    <w:rsid w:val="00EE13CF"/>
    <w:rsid w:val="00EE14FA"/>
    <w:rsid w:val="00EE1512"/>
    <w:rsid w:val="00EE217F"/>
    <w:rsid w:val="00EE4120"/>
    <w:rsid w:val="00EE44AD"/>
    <w:rsid w:val="00EE4B62"/>
    <w:rsid w:val="00EE4F4E"/>
    <w:rsid w:val="00EE7D61"/>
    <w:rsid w:val="00EF0219"/>
    <w:rsid w:val="00EF1E0A"/>
    <w:rsid w:val="00EF267F"/>
    <w:rsid w:val="00EF2F1F"/>
    <w:rsid w:val="00EF3F83"/>
    <w:rsid w:val="00EF4494"/>
    <w:rsid w:val="00EF4E32"/>
    <w:rsid w:val="00EF550E"/>
    <w:rsid w:val="00EF5820"/>
    <w:rsid w:val="00F01076"/>
    <w:rsid w:val="00F025A2"/>
    <w:rsid w:val="00F04C08"/>
    <w:rsid w:val="00F04C45"/>
    <w:rsid w:val="00F05474"/>
    <w:rsid w:val="00F054BA"/>
    <w:rsid w:val="00F05D71"/>
    <w:rsid w:val="00F06BBB"/>
    <w:rsid w:val="00F06F0B"/>
    <w:rsid w:val="00F07388"/>
    <w:rsid w:val="00F07FD6"/>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31F"/>
    <w:rsid w:val="00F47EC4"/>
    <w:rsid w:val="00F52DBE"/>
    <w:rsid w:val="00F53AAD"/>
    <w:rsid w:val="00F5490A"/>
    <w:rsid w:val="00F54A3D"/>
    <w:rsid w:val="00F54F7D"/>
    <w:rsid w:val="00F556B9"/>
    <w:rsid w:val="00F5657D"/>
    <w:rsid w:val="00F57BF9"/>
    <w:rsid w:val="00F60482"/>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C5C"/>
    <w:rsid w:val="00FA2EA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FA7"/>
    <w:rsid w:val="00FD2CBF"/>
    <w:rsid w:val="00FD428F"/>
    <w:rsid w:val="00FD4EDD"/>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10</Pages>
  <Words>4946</Words>
  <Characters>28196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2023-08-09T17:00:00Z</dcterms:created>
  <dcterms:modified xsi:type="dcterms:W3CDTF">2023-08-09T17:00:00Z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